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A7C24" w14:textId="77777777" w:rsidR="00860CB4" w:rsidRDefault="00860CB4">
      <w:pPr>
        <w:spacing w:after="200"/>
        <w:rPr>
          <w:b/>
          <w:sz w:val="24"/>
          <w:szCs w:val="24"/>
        </w:rPr>
      </w:pPr>
      <w:bookmarkStart w:id="0" w:name="_Hlk504634824"/>
      <w:bookmarkStart w:id="1" w:name="_Toc453061915"/>
      <w:bookmarkStart w:id="2" w:name="_Toc433887723"/>
      <w:bookmarkStart w:id="3" w:name="_Toc433887725"/>
      <w:bookmarkStart w:id="4" w:name="_Toc433887726"/>
      <w:bookmarkStart w:id="5" w:name="_GoBack"/>
      <w:bookmarkEnd w:id="0"/>
      <w:bookmarkEnd w:id="5"/>
    </w:p>
    <w:p w14:paraId="64294B11" w14:textId="77777777" w:rsidR="00283191" w:rsidRDefault="00283191">
      <w:pPr>
        <w:spacing w:after="200"/>
        <w:rPr>
          <w:b/>
          <w:sz w:val="24"/>
          <w:szCs w:val="24"/>
        </w:rPr>
      </w:pPr>
    </w:p>
    <w:p w14:paraId="1F31AAC9" w14:textId="77777777" w:rsidR="00860CB4" w:rsidRPr="0017483C" w:rsidRDefault="00860CB4" w:rsidP="00860CB4">
      <w:pPr>
        <w:rPr>
          <w:b/>
          <w:noProof/>
          <w:color w:val="404040" w:themeColor="text1" w:themeTint="BF"/>
          <w:sz w:val="36"/>
          <w:lang w:eastAsia="en-AU"/>
        </w:rPr>
      </w:pPr>
    </w:p>
    <w:p w14:paraId="4F71B22B" w14:textId="77777777" w:rsidR="00860CB4" w:rsidRDefault="00860CB4" w:rsidP="00860CB4">
      <w:pPr>
        <w:rPr>
          <w:b/>
          <w:noProof/>
          <w:sz w:val="44"/>
          <w:lang w:eastAsia="en-AU"/>
        </w:rPr>
      </w:pPr>
    </w:p>
    <w:p w14:paraId="57CCEA98" w14:textId="77777777" w:rsidR="00860CB4" w:rsidRPr="00751E87" w:rsidRDefault="00860CB4" w:rsidP="00860CB4">
      <w:pPr>
        <w:rPr>
          <w:rFonts w:asciiTheme="minorHAnsi" w:hAnsiTheme="minorHAnsi" w:cstheme="minorHAnsi"/>
          <w:noProof/>
          <w:sz w:val="44"/>
          <w:lang w:eastAsia="en-AU"/>
        </w:rPr>
      </w:pPr>
    </w:p>
    <w:p w14:paraId="6B50B44A" w14:textId="77777777" w:rsidR="00860CB4" w:rsidRDefault="000302A2" w:rsidP="00860CB4">
      <w:pPr>
        <w:rPr>
          <w:rFonts w:asciiTheme="minorHAnsi" w:hAnsiTheme="minorHAnsi" w:cstheme="minorHAnsi"/>
          <w:b/>
          <w:noProof/>
          <w:sz w:val="44"/>
          <w:lang w:eastAsia="en-AU"/>
        </w:rPr>
      </w:pPr>
      <w:r>
        <w:rPr>
          <w:rFonts w:asciiTheme="minorHAnsi" w:hAnsiTheme="minorHAnsi" w:cstheme="minorHAnsi"/>
          <w:b/>
          <w:noProof/>
          <w:sz w:val="44"/>
          <w:lang w:eastAsia="en-AU"/>
        </w:rPr>
        <w:t xml:space="preserve">LOGIQC </w:t>
      </w:r>
      <w:r w:rsidR="00124AFD" w:rsidRPr="00124AFD">
        <w:rPr>
          <w:rFonts w:asciiTheme="minorHAnsi" w:hAnsiTheme="minorHAnsi" w:cstheme="minorHAnsi"/>
          <w:b/>
          <w:noProof/>
          <w:sz w:val="44"/>
          <w:lang w:eastAsia="en-AU"/>
        </w:rPr>
        <w:t xml:space="preserve">ACCREDITATION </w:t>
      </w:r>
      <w:r w:rsidR="00CF39C6">
        <w:rPr>
          <w:rFonts w:asciiTheme="minorHAnsi" w:hAnsiTheme="minorHAnsi" w:cstheme="minorHAnsi"/>
          <w:b/>
          <w:noProof/>
          <w:sz w:val="44"/>
          <w:lang w:eastAsia="en-AU"/>
        </w:rPr>
        <w:t>MODULE WORKBOOK</w:t>
      </w:r>
      <w:r w:rsidR="00AE6432">
        <w:rPr>
          <w:rFonts w:asciiTheme="minorHAnsi" w:hAnsiTheme="minorHAnsi" w:cstheme="minorHAnsi"/>
          <w:b/>
          <w:noProof/>
          <w:sz w:val="44"/>
          <w:lang w:eastAsia="en-AU"/>
        </w:rPr>
        <w:t xml:space="preserve"> </w:t>
      </w:r>
    </w:p>
    <w:p w14:paraId="12216A61" w14:textId="77777777" w:rsidR="00DB5CE5" w:rsidRPr="00751E87" w:rsidRDefault="00DB5CE5" w:rsidP="00860CB4">
      <w:pPr>
        <w:rPr>
          <w:rFonts w:asciiTheme="minorHAnsi" w:hAnsiTheme="minorHAnsi" w:cstheme="minorHAnsi"/>
          <w:noProof/>
          <w:lang w:eastAsia="en-AU"/>
        </w:rPr>
      </w:pPr>
    </w:p>
    <w:p w14:paraId="26FAC981" w14:textId="77777777" w:rsidR="00860CB4" w:rsidRPr="00EC7D94" w:rsidRDefault="00860CB4" w:rsidP="00EC7D94">
      <w:pPr>
        <w:rPr>
          <w:rFonts w:asciiTheme="minorHAnsi" w:hAnsiTheme="minorHAnsi" w:cstheme="minorHAnsi"/>
          <w:noProof/>
          <w:lang w:eastAsia="en-AU"/>
        </w:rPr>
      </w:pPr>
      <w:r w:rsidRPr="00EC7D94">
        <w:rPr>
          <w:rFonts w:asciiTheme="minorHAnsi" w:hAnsiTheme="minorHAnsi" w:cstheme="minorHAnsi"/>
          <w:noProof/>
          <w:lang w:eastAsia="en-AU"/>
        </w:rPr>
        <w:t xml:space="preserve">This </w:t>
      </w:r>
      <w:r w:rsidR="00EC7D94" w:rsidRPr="00EC7D94">
        <w:rPr>
          <w:rFonts w:asciiTheme="minorHAnsi" w:hAnsiTheme="minorHAnsi" w:cstheme="minorHAnsi"/>
          <w:noProof/>
          <w:lang w:eastAsia="en-AU"/>
        </w:rPr>
        <w:t>workbook</w:t>
      </w:r>
      <w:r w:rsidR="00FF61EE" w:rsidRPr="00EC7D94">
        <w:rPr>
          <w:rFonts w:asciiTheme="minorHAnsi" w:hAnsiTheme="minorHAnsi" w:cstheme="minorHAnsi"/>
          <w:noProof/>
          <w:lang w:eastAsia="en-AU"/>
        </w:rPr>
        <w:t xml:space="preserve"> </w:t>
      </w:r>
      <w:r w:rsidRPr="00EC7D94">
        <w:rPr>
          <w:rFonts w:asciiTheme="minorHAnsi" w:hAnsiTheme="minorHAnsi" w:cstheme="minorHAnsi"/>
          <w:noProof/>
          <w:lang w:eastAsia="en-AU"/>
        </w:rPr>
        <w:t xml:space="preserve">supports the </w:t>
      </w:r>
      <w:r w:rsidR="00CF39C6">
        <w:rPr>
          <w:rFonts w:asciiTheme="minorHAnsi" w:hAnsiTheme="minorHAnsi" w:cstheme="minorHAnsi"/>
          <w:noProof/>
          <w:lang w:eastAsia="en-AU"/>
        </w:rPr>
        <w:t>onboarding and training</w:t>
      </w:r>
      <w:r w:rsidR="00EC7D94" w:rsidRPr="00EC7D94">
        <w:rPr>
          <w:rFonts w:asciiTheme="minorHAnsi" w:hAnsiTheme="minorHAnsi" w:cstheme="minorHAnsi"/>
          <w:noProof/>
          <w:lang w:eastAsia="en-AU"/>
        </w:rPr>
        <w:t xml:space="preserve"> of the LOGIQC Quality Management System </w:t>
      </w:r>
      <w:r w:rsidR="00124AFD">
        <w:rPr>
          <w:rFonts w:asciiTheme="minorHAnsi" w:hAnsiTheme="minorHAnsi" w:cstheme="minorHAnsi"/>
          <w:noProof/>
          <w:lang w:eastAsia="en-AU"/>
        </w:rPr>
        <w:t>Accreditation</w:t>
      </w:r>
      <w:r w:rsidR="00EC7D94" w:rsidRPr="00EC7D94">
        <w:rPr>
          <w:rFonts w:asciiTheme="minorHAnsi" w:hAnsiTheme="minorHAnsi" w:cstheme="minorHAnsi"/>
          <w:noProof/>
          <w:lang w:eastAsia="en-AU"/>
        </w:rPr>
        <w:t xml:space="preserve"> Module. </w:t>
      </w:r>
      <w:r w:rsidRPr="00EC7D94">
        <w:rPr>
          <w:rFonts w:asciiTheme="minorHAnsi" w:hAnsiTheme="minorHAnsi" w:cstheme="minorHAnsi"/>
          <w:noProof/>
          <w:lang w:eastAsia="en-AU"/>
        </w:rPr>
        <w:t xml:space="preserve"> </w:t>
      </w:r>
    </w:p>
    <w:p w14:paraId="7E113187" w14:textId="77777777" w:rsidR="00860CB4" w:rsidRPr="0042778A" w:rsidRDefault="00860CB4" w:rsidP="00860CB4">
      <w:pPr>
        <w:rPr>
          <w:noProof/>
          <w:lang w:eastAsia="en-AU"/>
        </w:rPr>
        <w:sectPr w:rsidR="00860CB4" w:rsidRPr="0042778A" w:rsidSect="00D31EE1">
          <w:headerReference w:type="default" r:id="rId8"/>
          <w:footerReference w:type="default" r:id="rId9"/>
          <w:headerReference w:type="first" r:id="rId10"/>
          <w:footerReference w:type="first" r:id="rId11"/>
          <w:pgSz w:w="11906" w:h="16838" w:code="9"/>
          <w:pgMar w:top="1276" w:right="1077" w:bottom="851" w:left="794" w:header="6" w:footer="335" w:gutter="0"/>
          <w:cols w:space="708"/>
          <w:titlePg/>
          <w:docGrid w:linePitch="360"/>
        </w:sectPr>
      </w:pPr>
    </w:p>
    <w:p w14:paraId="74A5F5CF" w14:textId="77777777" w:rsidR="009227C1" w:rsidRPr="00CF39C6" w:rsidRDefault="00CF39C6" w:rsidP="009227C1">
      <w:pPr>
        <w:pStyle w:val="Title"/>
        <w:rPr>
          <w:sz w:val="44"/>
        </w:rPr>
      </w:pPr>
      <w:bookmarkStart w:id="6" w:name="_Toc433887736"/>
      <w:bookmarkStart w:id="7" w:name="_Toc453061927"/>
      <w:bookmarkEnd w:id="1"/>
      <w:bookmarkEnd w:id="2"/>
      <w:r w:rsidRPr="00CF39C6">
        <w:rPr>
          <w:sz w:val="44"/>
        </w:rPr>
        <w:lastRenderedPageBreak/>
        <w:t xml:space="preserve">Contents page </w:t>
      </w:r>
    </w:p>
    <w:p w14:paraId="1DD40A73" w14:textId="77777777" w:rsidR="00CF39C6" w:rsidRDefault="00CF39C6" w:rsidP="00CF39C6"/>
    <w:sdt>
      <w:sdtPr>
        <w:rPr>
          <w:rFonts w:ascii="Calibri Light" w:eastAsiaTheme="minorHAnsi" w:hAnsi="Calibri Light" w:cstheme="minorBidi"/>
          <w:color w:val="auto"/>
          <w:sz w:val="20"/>
          <w:szCs w:val="22"/>
          <w:lang w:val="en-AU"/>
        </w:rPr>
        <w:id w:val="25074339"/>
        <w:docPartObj>
          <w:docPartGallery w:val="Table of Contents"/>
          <w:docPartUnique/>
        </w:docPartObj>
      </w:sdtPr>
      <w:sdtEndPr>
        <w:rPr>
          <w:b/>
          <w:bCs/>
          <w:noProof/>
        </w:rPr>
      </w:sdtEndPr>
      <w:sdtContent>
        <w:p w14:paraId="6AA1A82E" w14:textId="77777777" w:rsidR="00CF39C6" w:rsidRPr="0057208E" w:rsidRDefault="00CF39C6">
          <w:pPr>
            <w:pStyle w:val="TOCHeading"/>
            <w:rPr>
              <w:rFonts w:asciiTheme="minorHAnsi" w:hAnsiTheme="minorHAnsi" w:cstheme="minorHAnsi"/>
            </w:rPr>
          </w:pPr>
        </w:p>
        <w:p w14:paraId="56BDD4B6" w14:textId="77777777" w:rsidR="00594D1D" w:rsidRDefault="00CF39C6">
          <w:pPr>
            <w:pStyle w:val="TOC2"/>
            <w:rPr>
              <w:rFonts w:eastAsiaTheme="minorEastAsia"/>
              <w:smallCaps w:val="0"/>
              <w:noProof/>
              <w:sz w:val="22"/>
              <w:szCs w:val="22"/>
              <w:lang w:val="en-US"/>
            </w:rPr>
          </w:pPr>
          <w:r w:rsidRPr="0057208E">
            <w:rPr>
              <w:rFonts w:cstheme="minorHAnsi"/>
            </w:rPr>
            <w:fldChar w:fldCharType="begin"/>
          </w:r>
          <w:r w:rsidRPr="0057208E">
            <w:rPr>
              <w:rFonts w:cstheme="minorHAnsi"/>
            </w:rPr>
            <w:instrText xml:space="preserve"> TOC \o "1-3" \h \z \u </w:instrText>
          </w:r>
          <w:r w:rsidRPr="0057208E">
            <w:rPr>
              <w:rFonts w:cstheme="minorHAnsi"/>
            </w:rPr>
            <w:fldChar w:fldCharType="separate"/>
          </w:r>
          <w:hyperlink w:anchor="_Toc7006429" w:history="1">
            <w:r w:rsidR="00594D1D" w:rsidRPr="000C0C17">
              <w:rPr>
                <w:rStyle w:val="Hyperlink"/>
                <w:noProof/>
              </w:rPr>
              <w:t>1.</w:t>
            </w:r>
            <w:r w:rsidR="00594D1D">
              <w:rPr>
                <w:rFonts w:eastAsiaTheme="minorEastAsia"/>
                <w:smallCaps w:val="0"/>
                <w:noProof/>
                <w:sz w:val="22"/>
                <w:szCs w:val="22"/>
                <w:lang w:val="en-US"/>
              </w:rPr>
              <w:tab/>
            </w:r>
            <w:r w:rsidR="00594D1D" w:rsidRPr="000C0C17">
              <w:rPr>
                <w:rStyle w:val="Hyperlink"/>
                <w:noProof/>
              </w:rPr>
              <w:t>Introduction</w:t>
            </w:r>
            <w:r w:rsidR="00594D1D">
              <w:rPr>
                <w:noProof/>
                <w:webHidden/>
              </w:rPr>
              <w:tab/>
            </w:r>
            <w:r w:rsidR="00594D1D">
              <w:rPr>
                <w:noProof/>
                <w:webHidden/>
              </w:rPr>
              <w:fldChar w:fldCharType="begin"/>
            </w:r>
            <w:r w:rsidR="00594D1D">
              <w:rPr>
                <w:noProof/>
                <w:webHidden/>
              </w:rPr>
              <w:instrText xml:space="preserve"> PAGEREF _Toc7006429 \h </w:instrText>
            </w:r>
            <w:r w:rsidR="00594D1D">
              <w:rPr>
                <w:noProof/>
                <w:webHidden/>
              </w:rPr>
            </w:r>
            <w:r w:rsidR="00594D1D">
              <w:rPr>
                <w:noProof/>
                <w:webHidden/>
              </w:rPr>
              <w:fldChar w:fldCharType="separate"/>
            </w:r>
            <w:r w:rsidR="00594D1D">
              <w:rPr>
                <w:noProof/>
                <w:webHidden/>
              </w:rPr>
              <w:t>3</w:t>
            </w:r>
            <w:r w:rsidR="00594D1D">
              <w:rPr>
                <w:noProof/>
                <w:webHidden/>
              </w:rPr>
              <w:fldChar w:fldCharType="end"/>
            </w:r>
          </w:hyperlink>
        </w:p>
        <w:p w14:paraId="4B962874" w14:textId="77777777" w:rsidR="00594D1D" w:rsidRDefault="008F1C3A">
          <w:pPr>
            <w:pStyle w:val="TOC2"/>
            <w:rPr>
              <w:rFonts w:eastAsiaTheme="minorEastAsia"/>
              <w:smallCaps w:val="0"/>
              <w:noProof/>
              <w:sz w:val="22"/>
              <w:szCs w:val="22"/>
              <w:lang w:val="en-US"/>
            </w:rPr>
          </w:pPr>
          <w:hyperlink w:anchor="_Toc7006430" w:history="1">
            <w:r w:rsidR="00594D1D" w:rsidRPr="000C0C17">
              <w:rPr>
                <w:rStyle w:val="Hyperlink"/>
                <w:noProof/>
              </w:rPr>
              <w:t>2.</w:t>
            </w:r>
            <w:r w:rsidR="00594D1D">
              <w:rPr>
                <w:rFonts w:eastAsiaTheme="minorEastAsia"/>
                <w:smallCaps w:val="0"/>
                <w:noProof/>
                <w:sz w:val="22"/>
                <w:szCs w:val="22"/>
                <w:lang w:val="en-US"/>
              </w:rPr>
              <w:tab/>
            </w:r>
            <w:r w:rsidR="00594D1D" w:rsidRPr="000C0C17">
              <w:rPr>
                <w:rStyle w:val="Hyperlink"/>
                <w:noProof/>
              </w:rPr>
              <w:t>The purpose and scope of the Accreditation Module</w:t>
            </w:r>
            <w:r w:rsidR="00594D1D">
              <w:rPr>
                <w:noProof/>
                <w:webHidden/>
              </w:rPr>
              <w:tab/>
            </w:r>
            <w:r w:rsidR="00594D1D">
              <w:rPr>
                <w:noProof/>
                <w:webHidden/>
              </w:rPr>
              <w:fldChar w:fldCharType="begin"/>
            </w:r>
            <w:r w:rsidR="00594D1D">
              <w:rPr>
                <w:noProof/>
                <w:webHidden/>
              </w:rPr>
              <w:instrText xml:space="preserve"> PAGEREF _Toc7006430 \h </w:instrText>
            </w:r>
            <w:r w:rsidR="00594D1D">
              <w:rPr>
                <w:noProof/>
                <w:webHidden/>
              </w:rPr>
            </w:r>
            <w:r w:rsidR="00594D1D">
              <w:rPr>
                <w:noProof/>
                <w:webHidden/>
              </w:rPr>
              <w:fldChar w:fldCharType="separate"/>
            </w:r>
            <w:r w:rsidR="00594D1D">
              <w:rPr>
                <w:noProof/>
                <w:webHidden/>
              </w:rPr>
              <w:t>3</w:t>
            </w:r>
            <w:r w:rsidR="00594D1D">
              <w:rPr>
                <w:noProof/>
                <w:webHidden/>
              </w:rPr>
              <w:fldChar w:fldCharType="end"/>
            </w:r>
          </w:hyperlink>
        </w:p>
        <w:p w14:paraId="5A9AB7EA" w14:textId="77777777" w:rsidR="00594D1D" w:rsidRDefault="008F1C3A">
          <w:pPr>
            <w:pStyle w:val="TOC2"/>
            <w:rPr>
              <w:rFonts w:eastAsiaTheme="minorEastAsia"/>
              <w:smallCaps w:val="0"/>
              <w:noProof/>
              <w:sz w:val="22"/>
              <w:szCs w:val="22"/>
              <w:lang w:val="en-US"/>
            </w:rPr>
          </w:pPr>
          <w:hyperlink w:anchor="_Toc7006431" w:history="1">
            <w:r w:rsidR="00594D1D" w:rsidRPr="000C0C17">
              <w:rPr>
                <w:rStyle w:val="Hyperlink"/>
                <w:noProof/>
              </w:rPr>
              <w:t>3.</w:t>
            </w:r>
            <w:r w:rsidR="00594D1D">
              <w:rPr>
                <w:rFonts w:eastAsiaTheme="minorEastAsia"/>
                <w:smallCaps w:val="0"/>
                <w:noProof/>
                <w:sz w:val="22"/>
                <w:szCs w:val="22"/>
                <w:lang w:val="en-US"/>
              </w:rPr>
              <w:tab/>
            </w:r>
            <w:r w:rsidR="00594D1D" w:rsidRPr="000C0C17">
              <w:rPr>
                <w:rStyle w:val="Hyperlink"/>
                <w:noProof/>
              </w:rPr>
              <w:t>LOGIQC Accreditation Module – Workflow</w:t>
            </w:r>
            <w:r w:rsidR="00594D1D">
              <w:rPr>
                <w:noProof/>
                <w:webHidden/>
              </w:rPr>
              <w:tab/>
            </w:r>
            <w:r w:rsidR="00594D1D">
              <w:rPr>
                <w:noProof/>
                <w:webHidden/>
              </w:rPr>
              <w:fldChar w:fldCharType="begin"/>
            </w:r>
            <w:r w:rsidR="00594D1D">
              <w:rPr>
                <w:noProof/>
                <w:webHidden/>
              </w:rPr>
              <w:instrText xml:space="preserve"> PAGEREF _Toc7006431 \h </w:instrText>
            </w:r>
            <w:r w:rsidR="00594D1D">
              <w:rPr>
                <w:noProof/>
                <w:webHidden/>
              </w:rPr>
            </w:r>
            <w:r w:rsidR="00594D1D">
              <w:rPr>
                <w:noProof/>
                <w:webHidden/>
              </w:rPr>
              <w:fldChar w:fldCharType="separate"/>
            </w:r>
            <w:r w:rsidR="00594D1D">
              <w:rPr>
                <w:noProof/>
                <w:webHidden/>
              </w:rPr>
              <w:t>5</w:t>
            </w:r>
            <w:r w:rsidR="00594D1D">
              <w:rPr>
                <w:noProof/>
                <w:webHidden/>
              </w:rPr>
              <w:fldChar w:fldCharType="end"/>
            </w:r>
          </w:hyperlink>
        </w:p>
        <w:p w14:paraId="7C8E7AAC" w14:textId="77777777" w:rsidR="00594D1D" w:rsidRDefault="008F1C3A">
          <w:pPr>
            <w:pStyle w:val="TOC2"/>
            <w:rPr>
              <w:rFonts w:eastAsiaTheme="minorEastAsia"/>
              <w:smallCaps w:val="0"/>
              <w:noProof/>
              <w:sz w:val="22"/>
              <w:szCs w:val="22"/>
              <w:lang w:val="en-US"/>
            </w:rPr>
          </w:pPr>
          <w:hyperlink w:anchor="_Toc7006432" w:history="1">
            <w:r w:rsidR="00594D1D" w:rsidRPr="000C0C17">
              <w:rPr>
                <w:rStyle w:val="Hyperlink"/>
                <w:noProof/>
              </w:rPr>
              <w:t>5.</w:t>
            </w:r>
            <w:r w:rsidR="00594D1D">
              <w:rPr>
                <w:rFonts w:eastAsiaTheme="minorEastAsia"/>
                <w:smallCaps w:val="0"/>
                <w:noProof/>
                <w:sz w:val="22"/>
                <w:szCs w:val="22"/>
                <w:lang w:val="en-US"/>
              </w:rPr>
              <w:tab/>
            </w:r>
            <w:r w:rsidR="00594D1D" w:rsidRPr="000C0C17">
              <w:rPr>
                <w:rStyle w:val="Hyperlink"/>
                <w:noProof/>
              </w:rPr>
              <w:t>How to navigate within the Accreditation Module</w:t>
            </w:r>
            <w:r w:rsidR="00594D1D">
              <w:rPr>
                <w:noProof/>
                <w:webHidden/>
              </w:rPr>
              <w:tab/>
            </w:r>
            <w:r w:rsidR="00594D1D">
              <w:rPr>
                <w:noProof/>
                <w:webHidden/>
              </w:rPr>
              <w:fldChar w:fldCharType="begin"/>
            </w:r>
            <w:r w:rsidR="00594D1D">
              <w:rPr>
                <w:noProof/>
                <w:webHidden/>
              </w:rPr>
              <w:instrText xml:space="preserve"> PAGEREF _Toc7006432 \h </w:instrText>
            </w:r>
            <w:r w:rsidR="00594D1D">
              <w:rPr>
                <w:noProof/>
                <w:webHidden/>
              </w:rPr>
            </w:r>
            <w:r w:rsidR="00594D1D">
              <w:rPr>
                <w:noProof/>
                <w:webHidden/>
              </w:rPr>
              <w:fldChar w:fldCharType="separate"/>
            </w:r>
            <w:r w:rsidR="00594D1D">
              <w:rPr>
                <w:noProof/>
                <w:webHidden/>
              </w:rPr>
              <w:t>6</w:t>
            </w:r>
            <w:r w:rsidR="00594D1D">
              <w:rPr>
                <w:noProof/>
                <w:webHidden/>
              </w:rPr>
              <w:fldChar w:fldCharType="end"/>
            </w:r>
          </w:hyperlink>
        </w:p>
        <w:p w14:paraId="0105238E" w14:textId="77777777" w:rsidR="00594D1D" w:rsidRDefault="008F1C3A">
          <w:pPr>
            <w:pStyle w:val="TOC2"/>
            <w:rPr>
              <w:rFonts w:eastAsiaTheme="minorEastAsia"/>
              <w:smallCaps w:val="0"/>
              <w:noProof/>
              <w:sz w:val="22"/>
              <w:szCs w:val="22"/>
              <w:lang w:val="en-US"/>
            </w:rPr>
          </w:pPr>
          <w:hyperlink w:anchor="_Toc7006433" w:history="1">
            <w:r w:rsidR="00594D1D" w:rsidRPr="000C0C17">
              <w:rPr>
                <w:rStyle w:val="Hyperlink"/>
                <w:noProof/>
              </w:rPr>
              <w:t>6.</w:t>
            </w:r>
            <w:r w:rsidR="00594D1D">
              <w:rPr>
                <w:rFonts w:eastAsiaTheme="minorEastAsia"/>
                <w:smallCaps w:val="0"/>
                <w:noProof/>
                <w:sz w:val="22"/>
                <w:szCs w:val="22"/>
                <w:lang w:val="en-US"/>
              </w:rPr>
              <w:tab/>
            </w:r>
            <w:r w:rsidR="00594D1D" w:rsidRPr="000C0C17">
              <w:rPr>
                <w:rStyle w:val="Hyperlink"/>
                <w:noProof/>
              </w:rPr>
              <w:t>How to complete the Accreditation Details Form</w:t>
            </w:r>
            <w:r w:rsidR="00594D1D">
              <w:rPr>
                <w:noProof/>
                <w:webHidden/>
              </w:rPr>
              <w:tab/>
            </w:r>
            <w:r w:rsidR="00594D1D">
              <w:rPr>
                <w:noProof/>
                <w:webHidden/>
              </w:rPr>
              <w:fldChar w:fldCharType="begin"/>
            </w:r>
            <w:r w:rsidR="00594D1D">
              <w:rPr>
                <w:noProof/>
                <w:webHidden/>
              </w:rPr>
              <w:instrText xml:space="preserve"> PAGEREF _Toc7006433 \h </w:instrText>
            </w:r>
            <w:r w:rsidR="00594D1D">
              <w:rPr>
                <w:noProof/>
                <w:webHidden/>
              </w:rPr>
            </w:r>
            <w:r w:rsidR="00594D1D">
              <w:rPr>
                <w:noProof/>
                <w:webHidden/>
              </w:rPr>
              <w:fldChar w:fldCharType="separate"/>
            </w:r>
            <w:r w:rsidR="00594D1D">
              <w:rPr>
                <w:noProof/>
                <w:webHidden/>
              </w:rPr>
              <w:t>7</w:t>
            </w:r>
            <w:r w:rsidR="00594D1D">
              <w:rPr>
                <w:noProof/>
                <w:webHidden/>
              </w:rPr>
              <w:fldChar w:fldCharType="end"/>
            </w:r>
          </w:hyperlink>
        </w:p>
        <w:p w14:paraId="3D31B6DC" w14:textId="77777777" w:rsidR="00594D1D" w:rsidRDefault="008F1C3A">
          <w:pPr>
            <w:pStyle w:val="TOC2"/>
            <w:rPr>
              <w:rFonts w:eastAsiaTheme="minorEastAsia"/>
              <w:smallCaps w:val="0"/>
              <w:noProof/>
              <w:sz w:val="22"/>
              <w:szCs w:val="22"/>
              <w:lang w:val="en-US"/>
            </w:rPr>
          </w:pPr>
          <w:hyperlink w:anchor="_Toc7006434" w:history="1">
            <w:r w:rsidR="00594D1D" w:rsidRPr="000C0C17">
              <w:rPr>
                <w:rStyle w:val="Hyperlink"/>
                <w:noProof/>
              </w:rPr>
              <w:t>7.</w:t>
            </w:r>
            <w:r w:rsidR="00594D1D">
              <w:rPr>
                <w:rFonts w:eastAsiaTheme="minorEastAsia"/>
                <w:smallCaps w:val="0"/>
                <w:noProof/>
                <w:sz w:val="22"/>
                <w:szCs w:val="22"/>
                <w:lang w:val="en-US"/>
              </w:rPr>
              <w:tab/>
            </w:r>
            <w:r w:rsidR="00594D1D" w:rsidRPr="000C0C17">
              <w:rPr>
                <w:rStyle w:val="Hyperlink"/>
                <w:noProof/>
              </w:rPr>
              <w:t>Accreditation Action Plan</w:t>
            </w:r>
            <w:r w:rsidR="00594D1D">
              <w:rPr>
                <w:noProof/>
                <w:webHidden/>
              </w:rPr>
              <w:tab/>
            </w:r>
            <w:r w:rsidR="00594D1D">
              <w:rPr>
                <w:noProof/>
                <w:webHidden/>
              </w:rPr>
              <w:fldChar w:fldCharType="begin"/>
            </w:r>
            <w:r w:rsidR="00594D1D">
              <w:rPr>
                <w:noProof/>
                <w:webHidden/>
              </w:rPr>
              <w:instrText xml:space="preserve"> PAGEREF _Toc7006434 \h </w:instrText>
            </w:r>
            <w:r w:rsidR="00594D1D">
              <w:rPr>
                <w:noProof/>
                <w:webHidden/>
              </w:rPr>
            </w:r>
            <w:r w:rsidR="00594D1D">
              <w:rPr>
                <w:noProof/>
                <w:webHidden/>
              </w:rPr>
              <w:fldChar w:fldCharType="separate"/>
            </w:r>
            <w:r w:rsidR="00594D1D">
              <w:rPr>
                <w:noProof/>
                <w:webHidden/>
              </w:rPr>
              <w:t>11</w:t>
            </w:r>
            <w:r w:rsidR="00594D1D">
              <w:rPr>
                <w:noProof/>
                <w:webHidden/>
              </w:rPr>
              <w:fldChar w:fldCharType="end"/>
            </w:r>
          </w:hyperlink>
        </w:p>
        <w:p w14:paraId="3740D936" w14:textId="77777777" w:rsidR="00594D1D" w:rsidRDefault="008F1C3A">
          <w:pPr>
            <w:pStyle w:val="TOC2"/>
            <w:rPr>
              <w:rFonts w:eastAsiaTheme="minorEastAsia"/>
              <w:smallCaps w:val="0"/>
              <w:noProof/>
              <w:sz w:val="22"/>
              <w:szCs w:val="22"/>
              <w:lang w:val="en-US"/>
            </w:rPr>
          </w:pPr>
          <w:hyperlink w:anchor="_Toc7006435" w:history="1">
            <w:r w:rsidR="00594D1D" w:rsidRPr="000C0C17">
              <w:rPr>
                <w:rStyle w:val="Hyperlink"/>
                <w:noProof/>
              </w:rPr>
              <w:t>8.</w:t>
            </w:r>
            <w:r w:rsidR="00594D1D">
              <w:rPr>
                <w:rFonts w:eastAsiaTheme="minorEastAsia"/>
                <w:smallCaps w:val="0"/>
                <w:noProof/>
                <w:sz w:val="22"/>
                <w:szCs w:val="22"/>
                <w:lang w:val="en-US"/>
              </w:rPr>
              <w:tab/>
            </w:r>
            <w:r w:rsidR="00594D1D" w:rsidRPr="000C0C17">
              <w:rPr>
                <w:rStyle w:val="Hyperlink"/>
                <w:noProof/>
              </w:rPr>
              <w:t>Evidence Report</w:t>
            </w:r>
            <w:r w:rsidR="00594D1D">
              <w:rPr>
                <w:noProof/>
                <w:webHidden/>
              </w:rPr>
              <w:tab/>
            </w:r>
            <w:r w:rsidR="00594D1D">
              <w:rPr>
                <w:noProof/>
                <w:webHidden/>
              </w:rPr>
              <w:fldChar w:fldCharType="begin"/>
            </w:r>
            <w:r w:rsidR="00594D1D">
              <w:rPr>
                <w:noProof/>
                <w:webHidden/>
              </w:rPr>
              <w:instrText xml:space="preserve"> PAGEREF _Toc7006435 \h </w:instrText>
            </w:r>
            <w:r w:rsidR="00594D1D">
              <w:rPr>
                <w:noProof/>
                <w:webHidden/>
              </w:rPr>
            </w:r>
            <w:r w:rsidR="00594D1D">
              <w:rPr>
                <w:noProof/>
                <w:webHidden/>
              </w:rPr>
              <w:fldChar w:fldCharType="separate"/>
            </w:r>
            <w:r w:rsidR="00594D1D">
              <w:rPr>
                <w:noProof/>
                <w:webHidden/>
              </w:rPr>
              <w:t>13</w:t>
            </w:r>
            <w:r w:rsidR="00594D1D">
              <w:rPr>
                <w:noProof/>
                <w:webHidden/>
              </w:rPr>
              <w:fldChar w:fldCharType="end"/>
            </w:r>
          </w:hyperlink>
        </w:p>
        <w:p w14:paraId="4DD9AFE7" w14:textId="77777777" w:rsidR="00594D1D" w:rsidRDefault="008F1C3A">
          <w:pPr>
            <w:pStyle w:val="TOC2"/>
            <w:rPr>
              <w:rFonts w:eastAsiaTheme="minorEastAsia"/>
              <w:smallCaps w:val="0"/>
              <w:noProof/>
              <w:sz w:val="22"/>
              <w:szCs w:val="22"/>
              <w:lang w:val="en-US"/>
            </w:rPr>
          </w:pPr>
          <w:hyperlink w:anchor="_Toc7006436" w:history="1">
            <w:r w:rsidR="00594D1D" w:rsidRPr="000C0C17">
              <w:rPr>
                <w:rStyle w:val="Hyperlink"/>
                <w:noProof/>
              </w:rPr>
              <w:t>9.</w:t>
            </w:r>
            <w:r w:rsidR="00594D1D">
              <w:rPr>
                <w:rFonts w:eastAsiaTheme="minorEastAsia"/>
                <w:smallCaps w:val="0"/>
                <w:noProof/>
                <w:sz w:val="22"/>
                <w:szCs w:val="22"/>
                <w:lang w:val="en-US"/>
              </w:rPr>
              <w:tab/>
            </w:r>
            <w:r w:rsidR="00594D1D" w:rsidRPr="000C0C17">
              <w:rPr>
                <w:rStyle w:val="Hyperlink"/>
                <w:noProof/>
              </w:rPr>
              <w:t>How to review an accreditation requirement</w:t>
            </w:r>
            <w:r w:rsidR="00594D1D">
              <w:rPr>
                <w:noProof/>
                <w:webHidden/>
              </w:rPr>
              <w:tab/>
            </w:r>
            <w:r w:rsidR="00594D1D">
              <w:rPr>
                <w:noProof/>
                <w:webHidden/>
              </w:rPr>
              <w:fldChar w:fldCharType="begin"/>
            </w:r>
            <w:r w:rsidR="00594D1D">
              <w:rPr>
                <w:noProof/>
                <w:webHidden/>
              </w:rPr>
              <w:instrText xml:space="preserve"> PAGEREF _Toc7006436 \h </w:instrText>
            </w:r>
            <w:r w:rsidR="00594D1D">
              <w:rPr>
                <w:noProof/>
                <w:webHidden/>
              </w:rPr>
            </w:r>
            <w:r w:rsidR="00594D1D">
              <w:rPr>
                <w:noProof/>
                <w:webHidden/>
              </w:rPr>
              <w:fldChar w:fldCharType="separate"/>
            </w:r>
            <w:r w:rsidR="00594D1D">
              <w:rPr>
                <w:noProof/>
                <w:webHidden/>
              </w:rPr>
              <w:t>14</w:t>
            </w:r>
            <w:r w:rsidR="00594D1D">
              <w:rPr>
                <w:noProof/>
                <w:webHidden/>
              </w:rPr>
              <w:fldChar w:fldCharType="end"/>
            </w:r>
          </w:hyperlink>
        </w:p>
        <w:p w14:paraId="333E0F1B" w14:textId="77777777" w:rsidR="00594D1D" w:rsidRDefault="008F1C3A">
          <w:pPr>
            <w:pStyle w:val="TOC2"/>
            <w:rPr>
              <w:rFonts w:eastAsiaTheme="minorEastAsia"/>
              <w:smallCaps w:val="0"/>
              <w:noProof/>
              <w:sz w:val="22"/>
              <w:szCs w:val="22"/>
              <w:lang w:val="en-US"/>
            </w:rPr>
          </w:pPr>
          <w:hyperlink w:anchor="_Toc7006437" w:history="1">
            <w:r w:rsidR="00594D1D" w:rsidRPr="000C0C17">
              <w:rPr>
                <w:rStyle w:val="Hyperlink"/>
                <w:noProof/>
              </w:rPr>
              <w:t>10.</w:t>
            </w:r>
            <w:r w:rsidR="00594D1D">
              <w:rPr>
                <w:rFonts w:eastAsiaTheme="minorEastAsia"/>
                <w:smallCaps w:val="0"/>
                <w:noProof/>
                <w:sz w:val="22"/>
                <w:szCs w:val="22"/>
                <w:lang w:val="en-US"/>
              </w:rPr>
              <w:tab/>
            </w:r>
            <w:r w:rsidR="00594D1D" w:rsidRPr="000C0C17">
              <w:rPr>
                <w:rStyle w:val="Hyperlink"/>
                <w:noProof/>
              </w:rPr>
              <w:t>How to manage the review of an accreditation requirement</w:t>
            </w:r>
            <w:r w:rsidR="00594D1D">
              <w:rPr>
                <w:noProof/>
                <w:webHidden/>
              </w:rPr>
              <w:tab/>
            </w:r>
            <w:r w:rsidR="00594D1D">
              <w:rPr>
                <w:noProof/>
                <w:webHidden/>
              </w:rPr>
              <w:fldChar w:fldCharType="begin"/>
            </w:r>
            <w:r w:rsidR="00594D1D">
              <w:rPr>
                <w:noProof/>
                <w:webHidden/>
              </w:rPr>
              <w:instrText xml:space="preserve"> PAGEREF _Toc7006437 \h </w:instrText>
            </w:r>
            <w:r w:rsidR="00594D1D">
              <w:rPr>
                <w:noProof/>
                <w:webHidden/>
              </w:rPr>
            </w:r>
            <w:r w:rsidR="00594D1D">
              <w:rPr>
                <w:noProof/>
                <w:webHidden/>
              </w:rPr>
              <w:fldChar w:fldCharType="separate"/>
            </w:r>
            <w:r w:rsidR="00594D1D">
              <w:rPr>
                <w:noProof/>
                <w:webHidden/>
              </w:rPr>
              <w:t>14</w:t>
            </w:r>
            <w:r w:rsidR="00594D1D">
              <w:rPr>
                <w:noProof/>
                <w:webHidden/>
              </w:rPr>
              <w:fldChar w:fldCharType="end"/>
            </w:r>
          </w:hyperlink>
        </w:p>
        <w:p w14:paraId="6ED63EA5" w14:textId="77777777" w:rsidR="00CF39C6" w:rsidRDefault="00CF39C6">
          <w:r w:rsidRPr="0057208E">
            <w:rPr>
              <w:rFonts w:asciiTheme="minorHAnsi" w:hAnsiTheme="minorHAnsi" w:cstheme="minorHAnsi"/>
              <w:b/>
              <w:bCs/>
              <w:noProof/>
            </w:rPr>
            <w:fldChar w:fldCharType="end"/>
          </w:r>
        </w:p>
      </w:sdtContent>
    </w:sdt>
    <w:p w14:paraId="2C2E36DB" w14:textId="77777777" w:rsidR="00CF39C6" w:rsidRDefault="00CF39C6">
      <w:pPr>
        <w:spacing w:after="200"/>
      </w:pPr>
      <w:r>
        <w:br w:type="page"/>
      </w:r>
    </w:p>
    <w:p w14:paraId="03FB2D3B" w14:textId="77777777" w:rsidR="00CF39C6" w:rsidRPr="00CF39C6" w:rsidRDefault="00CF39C6" w:rsidP="00571A16">
      <w:pPr>
        <w:pStyle w:val="Heading2"/>
        <w:numPr>
          <w:ilvl w:val="0"/>
          <w:numId w:val="2"/>
        </w:numPr>
      </w:pPr>
      <w:bookmarkStart w:id="8" w:name="_Toc7006429"/>
      <w:r w:rsidRPr="00CF39C6">
        <w:lastRenderedPageBreak/>
        <w:t>Introduction</w:t>
      </w:r>
      <w:bookmarkEnd w:id="8"/>
      <w:r w:rsidRPr="00CF39C6">
        <w:t xml:space="preserve"> </w:t>
      </w:r>
    </w:p>
    <w:p w14:paraId="5602D05A" w14:textId="77777777" w:rsidR="00F75EAB" w:rsidRDefault="00CF39C6" w:rsidP="005771D1">
      <w:r w:rsidRPr="002D4B63">
        <w:t xml:space="preserve">This </w:t>
      </w:r>
      <w:r w:rsidR="00F75EAB">
        <w:t xml:space="preserve">training workshop has been designed to provide support in the </w:t>
      </w:r>
      <w:r w:rsidRPr="002D4B63">
        <w:t xml:space="preserve">onboarding and training </w:t>
      </w:r>
      <w:r w:rsidR="00F75EAB">
        <w:t>in the use of the</w:t>
      </w:r>
      <w:r w:rsidRPr="002D4B63">
        <w:t xml:space="preserve"> LOGIQC Quality Management System </w:t>
      </w:r>
      <w:r w:rsidR="00124AFD">
        <w:t>Accreditation</w:t>
      </w:r>
      <w:r w:rsidRPr="002D4B63">
        <w:t xml:space="preserve"> Module</w:t>
      </w:r>
      <w:r w:rsidR="00571A16">
        <w:t xml:space="preserve">. </w:t>
      </w:r>
    </w:p>
    <w:p w14:paraId="44FFF512" w14:textId="77777777" w:rsidR="005771D1" w:rsidRPr="00F75EAB" w:rsidRDefault="00F75EAB" w:rsidP="005771D1">
      <w:pPr>
        <w:rPr>
          <w:b/>
        </w:rPr>
      </w:pPr>
      <w:r w:rsidRPr="00F75EAB">
        <w:rPr>
          <w:b/>
        </w:rPr>
        <w:t xml:space="preserve">Learning </w:t>
      </w:r>
      <w:r w:rsidR="002D4B63" w:rsidRPr="00F75EAB">
        <w:rPr>
          <w:b/>
        </w:rPr>
        <w:t>outcomes</w:t>
      </w:r>
      <w:r w:rsidR="005771D1" w:rsidRPr="00F75EAB">
        <w:rPr>
          <w:b/>
        </w:rPr>
        <w:t>:</w:t>
      </w:r>
    </w:p>
    <w:p w14:paraId="2A698E5B" w14:textId="77777777" w:rsidR="00571A16" w:rsidRPr="00F75EAB" w:rsidRDefault="00571A16" w:rsidP="005771D1">
      <w:pPr>
        <w:rPr>
          <w:b/>
        </w:rPr>
      </w:pPr>
      <w:r w:rsidRPr="00F75EAB">
        <w:rPr>
          <w:b/>
        </w:rPr>
        <w:t xml:space="preserve">Completion of </w:t>
      </w:r>
      <w:r w:rsidR="00124AFD">
        <w:rPr>
          <w:b/>
        </w:rPr>
        <w:t>Accreditation</w:t>
      </w:r>
      <w:r w:rsidRPr="00F75EAB">
        <w:rPr>
          <w:b/>
        </w:rPr>
        <w:t xml:space="preserve"> Details Form</w:t>
      </w:r>
      <w:r w:rsidR="00124AFD">
        <w:rPr>
          <w:b/>
        </w:rPr>
        <w:t xml:space="preserve">s for relevant </w:t>
      </w:r>
      <w:r w:rsidR="008527A3">
        <w:rPr>
          <w:b/>
        </w:rPr>
        <w:t>Standard</w:t>
      </w:r>
      <w:r w:rsidR="00124AFD">
        <w:rPr>
          <w:b/>
        </w:rPr>
        <w:t xml:space="preserve"> requirements</w:t>
      </w:r>
    </w:p>
    <w:p w14:paraId="2E86F23B"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Understanding of purpose and scope of the </w:t>
      </w:r>
      <w:r w:rsidR="00063BC4">
        <w:rPr>
          <w:rFonts w:cs="Calibri Light"/>
        </w:rPr>
        <w:t>Accreditation Module</w:t>
      </w:r>
    </w:p>
    <w:p w14:paraId="0A078B9E"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describe </w:t>
      </w:r>
      <w:r w:rsidR="00124AFD">
        <w:rPr>
          <w:rFonts w:cs="Calibri Light"/>
        </w:rPr>
        <w:t xml:space="preserve">existing evidence to meet the requirements </w:t>
      </w:r>
    </w:p>
    <w:p w14:paraId="5E83D921"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link relevant items in the QMS </w:t>
      </w:r>
      <w:r w:rsidR="00124AFD">
        <w:rPr>
          <w:rFonts w:cs="Calibri Light"/>
        </w:rPr>
        <w:t>as evidence of meeting the requirements</w:t>
      </w:r>
    </w:p>
    <w:p w14:paraId="032DB1B1"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w:t>
      </w:r>
      <w:r w:rsidR="00124AFD">
        <w:rPr>
          <w:rFonts w:cs="Calibri Light"/>
        </w:rPr>
        <w:t>identify</w:t>
      </w:r>
      <w:r w:rsidRPr="00571A16">
        <w:rPr>
          <w:rFonts w:cs="Calibri Light"/>
        </w:rPr>
        <w:t xml:space="preserve"> further </w:t>
      </w:r>
      <w:r w:rsidR="00063BC4">
        <w:rPr>
          <w:rFonts w:cs="Calibri Light"/>
        </w:rPr>
        <w:t>Accreditation Action Plan</w:t>
      </w:r>
      <w:r w:rsidR="00124AFD">
        <w:rPr>
          <w:rFonts w:cs="Calibri Light"/>
        </w:rPr>
        <w:t xml:space="preserve"> tasks</w:t>
      </w:r>
    </w:p>
    <w:p w14:paraId="0B067998" w14:textId="77777777" w:rsidR="00D31EE1" w:rsidRDefault="00D31EE1" w:rsidP="00571A16">
      <w:pPr>
        <w:rPr>
          <w:b/>
        </w:rPr>
      </w:pPr>
    </w:p>
    <w:p w14:paraId="127368BB" w14:textId="77777777" w:rsidR="00571A16" w:rsidRPr="00F75EAB" w:rsidRDefault="00571A16" w:rsidP="00571A16">
      <w:pPr>
        <w:rPr>
          <w:rFonts w:cs="Calibri Light"/>
          <w:b/>
        </w:rPr>
      </w:pPr>
      <w:r w:rsidRPr="00F75EAB">
        <w:rPr>
          <w:b/>
        </w:rPr>
        <w:t>Managing</w:t>
      </w:r>
      <w:r w:rsidRPr="00F75EAB">
        <w:rPr>
          <w:rFonts w:cs="Calibri Light"/>
          <w:b/>
        </w:rPr>
        <w:t xml:space="preserve"> </w:t>
      </w:r>
      <w:r w:rsidR="00124AFD">
        <w:rPr>
          <w:rFonts w:cs="Calibri Light"/>
          <w:b/>
        </w:rPr>
        <w:t xml:space="preserve">and maintaining compliance with the </w:t>
      </w:r>
      <w:r w:rsidR="008527A3">
        <w:rPr>
          <w:rFonts w:cs="Calibri Light"/>
          <w:b/>
        </w:rPr>
        <w:t>Standard</w:t>
      </w:r>
      <w:r w:rsidR="00124AFD">
        <w:rPr>
          <w:rFonts w:cs="Calibri Light"/>
          <w:b/>
        </w:rPr>
        <w:t xml:space="preserve"> requirements</w:t>
      </w:r>
    </w:p>
    <w:p w14:paraId="7085945B"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w:t>
      </w:r>
      <w:r w:rsidR="00124AFD">
        <w:rPr>
          <w:rFonts w:cs="Calibri Light"/>
        </w:rPr>
        <w:t>complete the self-</w:t>
      </w:r>
      <w:r w:rsidR="00124AFD" w:rsidRPr="00571A16">
        <w:rPr>
          <w:rFonts w:cs="Calibri Light"/>
        </w:rPr>
        <w:t>assess</w:t>
      </w:r>
      <w:r w:rsidR="00124AFD">
        <w:rPr>
          <w:rFonts w:cs="Calibri Light"/>
        </w:rPr>
        <w:t xml:space="preserve">ment of the </w:t>
      </w:r>
      <w:r w:rsidR="008527A3">
        <w:rPr>
          <w:rFonts w:cs="Calibri Light"/>
        </w:rPr>
        <w:t>Standard</w:t>
      </w:r>
      <w:r w:rsidR="00124AFD">
        <w:rPr>
          <w:rFonts w:cs="Calibri Light"/>
        </w:rPr>
        <w:t xml:space="preserve"> requirements</w:t>
      </w:r>
    </w:p>
    <w:p w14:paraId="4F994E1F"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manage and approve the </w:t>
      </w:r>
      <w:r w:rsidR="00124AFD">
        <w:rPr>
          <w:rFonts w:cs="Calibri Light"/>
        </w:rPr>
        <w:t>Accreditation Details Form</w:t>
      </w:r>
    </w:p>
    <w:p w14:paraId="4756E270"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How to review the</w:t>
      </w:r>
      <w:r w:rsidR="00124AFD">
        <w:rPr>
          <w:rFonts w:cs="Calibri Light"/>
        </w:rPr>
        <w:t xml:space="preserve"> </w:t>
      </w:r>
      <w:r w:rsidR="009A5A0E">
        <w:rPr>
          <w:rFonts w:cs="Calibri Light"/>
        </w:rPr>
        <w:t>Evidence Report</w:t>
      </w:r>
      <w:r w:rsidR="00124AFD">
        <w:rPr>
          <w:rFonts w:cs="Calibri Light"/>
        </w:rPr>
        <w:t xml:space="preserve"> for the </w:t>
      </w:r>
      <w:r w:rsidR="008527A3">
        <w:rPr>
          <w:rFonts w:cs="Calibri Light"/>
        </w:rPr>
        <w:t>Standard</w:t>
      </w:r>
      <w:r w:rsidR="00124AFD">
        <w:rPr>
          <w:rFonts w:cs="Calibri Light"/>
        </w:rPr>
        <w:t xml:space="preserve">s to assess compliance </w:t>
      </w:r>
      <w:r w:rsidR="00E13871">
        <w:rPr>
          <w:rFonts w:cs="Calibri Light"/>
        </w:rPr>
        <w:t>with</w:t>
      </w:r>
      <w:r w:rsidR="00124AFD">
        <w:rPr>
          <w:rFonts w:cs="Calibri Light"/>
        </w:rPr>
        <w:t xml:space="preserve"> the </w:t>
      </w:r>
      <w:r w:rsidR="008527A3">
        <w:rPr>
          <w:rFonts w:cs="Calibri Light"/>
        </w:rPr>
        <w:t>Standard</w:t>
      </w:r>
      <w:r w:rsidR="00124AFD">
        <w:rPr>
          <w:rFonts w:cs="Calibri Light"/>
        </w:rPr>
        <w:t xml:space="preserve"> requirements</w:t>
      </w:r>
    </w:p>
    <w:p w14:paraId="6B39C118" w14:textId="77777777" w:rsidR="00571A16" w:rsidRPr="00571A16" w:rsidRDefault="00571A16" w:rsidP="00571A16">
      <w:pPr>
        <w:pStyle w:val="ListParagraph"/>
        <w:numPr>
          <w:ilvl w:val="0"/>
          <w:numId w:val="4"/>
        </w:numPr>
        <w:spacing w:after="60" w:line="240" w:lineRule="auto"/>
        <w:ind w:left="357" w:hanging="357"/>
        <w:contextualSpacing w:val="0"/>
        <w:jc w:val="both"/>
        <w:rPr>
          <w:rFonts w:cs="Calibri Light"/>
        </w:rPr>
      </w:pPr>
      <w:r w:rsidRPr="00571A16">
        <w:rPr>
          <w:rFonts w:cs="Calibri Light"/>
        </w:rPr>
        <w:t xml:space="preserve">How to bring </w:t>
      </w:r>
      <w:r w:rsidR="00E13871">
        <w:rPr>
          <w:rFonts w:cs="Calibri Light"/>
        </w:rPr>
        <w:t>the requirements of a S</w:t>
      </w:r>
      <w:r w:rsidR="00124AFD">
        <w:rPr>
          <w:rFonts w:cs="Calibri Light"/>
        </w:rPr>
        <w:t>tandard under review</w:t>
      </w:r>
    </w:p>
    <w:p w14:paraId="21B1B0D4" w14:textId="77777777" w:rsidR="00571A16" w:rsidRPr="00124AFD" w:rsidRDefault="00571A16" w:rsidP="00124AFD">
      <w:pPr>
        <w:pStyle w:val="ListParagraph"/>
        <w:numPr>
          <w:ilvl w:val="0"/>
          <w:numId w:val="4"/>
        </w:numPr>
        <w:spacing w:after="60" w:line="240" w:lineRule="auto"/>
        <w:ind w:left="357" w:hanging="357"/>
        <w:contextualSpacing w:val="0"/>
        <w:jc w:val="both"/>
        <w:rPr>
          <w:rFonts w:cs="Calibri Light"/>
        </w:rPr>
      </w:pPr>
      <w:r w:rsidRPr="00571A16">
        <w:rPr>
          <w:rFonts w:cs="Calibri Light"/>
        </w:rPr>
        <w:t>How to</w:t>
      </w:r>
      <w:r w:rsidR="00124AFD">
        <w:rPr>
          <w:rFonts w:cs="Calibri Light"/>
        </w:rPr>
        <w:t xml:space="preserve"> utilise the </w:t>
      </w:r>
      <w:r w:rsidR="00063BC4">
        <w:rPr>
          <w:rFonts w:cs="Calibri Light"/>
        </w:rPr>
        <w:t>Accreditation Action Plan</w:t>
      </w:r>
      <w:r w:rsidR="00124AFD">
        <w:rPr>
          <w:rFonts w:cs="Calibri Light"/>
        </w:rPr>
        <w:t xml:space="preserve"> and complete the action tasks</w:t>
      </w:r>
    </w:p>
    <w:p w14:paraId="38D97947" w14:textId="77777777" w:rsidR="005771D1" w:rsidRDefault="005771D1" w:rsidP="00F11FE1">
      <w:pPr>
        <w:pStyle w:val="Body"/>
        <w:rPr>
          <w:b/>
          <w:bCs/>
        </w:rPr>
      </w:pPr>
    </w:p>
    <w:p w14:paraId="0A0E5E7B" w14:textId="77777777" w:rsidR="00FE042B" w:rsidRPr="00063BC4" w:rsidRDefault="00FE042B" w:rsidP="00FE042B">
      <w:pPr>
        <w:rPr>
          <w:b/>
        </w:rPr>
      </w:pPr>
      <w:r w:rsidRPr="00063BC4">
        <w:rPr>
          <w:b/>
        </w:rPr>
        <w:t>Related Documents</w:t>
      </w:r>
      <w:r w:rsidR="00ED6E38" w:rsidRPr="00063BC4">
        <w:rPr>
          <w:b/>
        </w:rPr>
        <w:t xml:space="preserve"> and Resources</w:t>
      </w:r>
      <w:r w:rsidRPr="00063BC4">
        <w:rPr>
          <w:b/>
        </w:rPr>
        <w:t xml:space="preserve"> </w:t>
      </w:r>
    </w:p>
    <w:p w14:paraId="644B454F" w14:textId="77777777" w:rsidR="00124AFD" w:rsidRPr="00063BC4" w:rsidRDefault="00124AFD" w:rsidP="00124AFD">
      <w:pPr>
        <w:pStyle w:val="ListParagraph"/>
        <w:numPr>
          <w:ilvl w:val="0"/>
          <w:numId w:val="4"/>
        </w:numPr>
        <w:spacing w:after="60" w:line="240" w:lineRule="auto"/>
        <w:ind w:left="357" w:hanging="357"/>
        <w:contextualSpacing w:val="0"/>
        <w:jc w:val="both"/>
        <w:rPr>
          <w:rFonts w:cs="Calibri Light"/>
        </w:rPr>
      </w:pPr>
      <w:bookmarkStart w:id="9" w:name="_Hlk508364822"/>
      <w:r w:rsidRPr="00063BC4">
        <w:rPr>
          <w:rFonts w:cs="Calibri Light"/>
        </w:rPr>
        <w:t xml:space="preserve">Copy of the relevant </w:t>
      </w:r>
      <w:r w:rsidR="008527A3" w:rsidRPr="00063BC4">
        <w:rPr>
          <w:rFonts w:cs="Calibri Light"/>
        </w:rPr>
        <w:t>Standard</w:t>
      </w:r>
      <w:r w:rsidRPr="00063BC4">
        <w:rPr>
          <w:rFonts w:cs="Calibri Light"/>
        </w:rPr>
        <w:t xml:space="preserve"> for full details of the requirements </w:t>
      </w:r>
      <w:bookmarkEnd w:id="9"/>
      <w:r w:rsidR="00A4208E" w:rsidRPr="00063BC4">
        <w:rPr>
          <w:rFonts w:cs="Calibri Light"/>
        </w:rPr>
        <w:t xml:space="preserve">of the </w:t>
      </w:r>
      <w:r w:rsidR="008527A3" w:rsidRPr="00063BC4">
        <w:rPr>
          <w:rFonts w:cs="Calibri Light"/>
        </w:rPr>
        <w:t>Standard</w:t>
      </w:r>
      <w:r w:rsidR="00A4208E" w:rsidRPr="00063BC4">
        <w:rPr>
          <w:rFonts w:cs="Calibri Light"/>
        </w:rPr>
        <w:t xml:space="preserve">s </w:t>
      </w:r>
    </w:p>
    <w:p w14:paraId="36AEE37B" w14:textId="77777777" w:rsidR="00A4208E" w:rsidRDefault="00A4208E" w:rsidP="009D1DA8">
      <w:pPr>
        <w:pStyle w:val="ListParagraph"/>
        <w:spacing w:after="60" w:line="240" w:lineRule="auto"/>
        <w:ind w:left="357"/>
        <w:contextualSpacing w:val="0"/>
        <w:jc w:val="both"/>
        <w:rPr>
          <w:rFonts w:cs="Calibri Light"/>
        </w:rPr>
      </w:pPr>
    </w:p>
    <w:p w14:paraId="6E59C238" w14:textId="77777777" w:rsidR="00A4208E" w:rsidRDefault="00A4208E">
      <w:pPr>
        <w:spacing w:after="200"/>
        <w:rPr>
          <w:rFonts w:cs="Calibri Light"/>
        </w:rPr>
      </w:pPr>
    </w:p>
    <w:p w14:paraId="047CC4B3" w14:textId="77777777" w:rsidR="000A7E6D" w:rsidRDefault="00CF39C6" w:rsidP="00964B3B">
      <w:pPr>
        <w:pStyle w:val="Heading2"/>
        <w:numPr>
          <w:ilvl w:val="0"/>
          <w:numId w:val="2"/>
        </w:numPr>
      </w:pPr>
      <w:bookmarkStart w:id="10" w:name="_Toc7006430"/>
      <w:r>
        <w:t>The purpose and</w:t>
      </w:r>
      <w:r w:rsidR="002D4B63">
        <w:t xml:space="preserve"> scope </w:t>
      </w:r>
      <w:r>
        <w:t xml:space="preserve">of the </w:t>
      </w:r>
      <w:r w:rsidR="00F5349F">
        <w:t>Accreditation</w:t>
      </w:r>
      <w:r>
        <w:t xml:space="preserve"> </w:t>
      </w:r>
      <w:r w:rsidR="00F75EAB">
        <w:t>M</w:t>
      </w:r>
      <w:r>
        <w:t>odule</w:t>
      </w:r>
      <w:bookmarkEnd w:id="10"/>
    </w:p>
    <w:p w14:paraId="4192BF4C" w14:textId="77777777" w:rsidR="00A4208E" w:rsidRDefault="00A4208E" w:rsidP="00A4208E">
      <w:r>
        <w:t xml:space="preserve">The </w:t>
      </w:r>
      <w:r w:rsidR="00063BC4">
        <w:t>Accreditation Module</w:t>
      </w:r>
      <w:r>
        <w:t xml:space="preserve"> significantly reduces the time and effort required to manage and maintain accreditation requirements. </w:t>
      </w:r>
      <w:r w:rsidR="00200EB4">
        <w:t xml:space="preserve">The </w:t>
      </w:r>
      <w:r w:rsidR="009A5A0E">
        <w:t>Accreditation Module</w:t>
      </w:r>
      <w:r w:rsidR="00200EB4">
        <w:t xml:space="preserve"> is an online tool integrated within the LOGIQC QMS to allow the organisation to:</w:t>
      </w:r>
    </w:p>
    <w:p w14:paraId="35C1B042" w14:textId="77777777" w:rsidR="00200EB4" w:rsidRPr="00E13871" w:rsidRDefault="00A4208E" w:rsidP="00912012">
      <w:pPr>
        <w:pStyle w:val="ListParagraph"/>
        <w:numPr>
          <w:ilvl w:val="0"/>
          <w:numId w:val="12"/>
        </w:numPr>
        <w:spacing w:after="60" w:line="240" w:lineRule="auto"/>
        <w:contextualSpacing w:val="0"/>
        <w:jc w:val="both"/>
        <w:rPr>
          <w:rFonts w:cs="Calibri Light"/>
        </w:rPr>
      </w:pPr>
      <w:r w:rsidRPr="00E13871">
        <w:rPr>
          <w:rFonts w:cs="Calibri Light"/>
        </w:rPr>
        <w:t xml:space="preserve">Conduct a self-assessment </w:t>
      </w:r>
      <w:r w:rsidR="00200EB4" w:rsidRPr="00E13871">
        <w:rPr>
          <w:rFonts w:cs="Calibri Light"/>
        </w:rPr>
        <w:t xml:space="preserve">of how the requirements of specific </w:t>
      </w:r>
      <w:r w:rsidR="008527A3">
        <w:rPr>
          <w:rFonts w:cs="Calibri Light"/>
        </w:rPr>
        <w:t>Standard</w:t>
      </w:r>
      <w:r w:rsidR="00200EB4" w:rsidRPr="00E13871">
        <w:rPr>
          <w:rFonts w:cs="Calibri Light"/>
        </w:rPr>
        <w:t>s are being met</w:t>
      </w:r>
    </w:p>
    <w:p w14:paraId="6293B229" w14:textId="77777777" w:rsidR="00A4208E" w:rsidRPr="00E13871" w:rsidRDefault="00200EB4" w:rsidP="00912012">
      <w:pPr>
        <w:pStyle w:val="ListParagraph"/>
        <w:numPr>
          <w:ilvl w:val="0"/>
          <w:numId w:val="12"/>
        </w:numPr>
        <w:spacing w:after="60" w:line="240" w:lineRule="auto"/>
        <w:contextualSpacing w:val="0"/>
        <w:jc w:val="both"/>
        <w:rPr>
          <w:rFonts w:cs="Calibri Light"/>
        </w:rPr>
      </w:pPr>
      <w:r w:rsidRPr="00E13871">
        <w:rPr>
          <w:rFonts w:cs="Calibri Light"/>
        </w:rPr>
        <w:t xml:space="preserve">Add and manage individual action tasks to further comply with the </w:t>
      </w:r>
      <w:r w:rsidR="008527A3">
        <w:rPr>
          <w:rFonts w:cs="Calibri Light"/>
        </w:rPr>
        <w:t>Standard</w:t>
      </w:r>
      <w:r w:rsidRPr="00E13871">
        <w:rPr>
          <w:rFonts w:cs="Calibri Light"/>
        </w:rPr>
        <w:t xml:space="preserve">s and automatically </w:t>
      </w:r>
      <w:r w:rsidR="00A4208E" w:rsidRPr="00E13871">
        <w:rPr>
          <w:rFonts w:cs="Calibri Light"/>
        </w:rPr>
        <w:t>generate an action plan</w:t>
      </w:r>
    </w:p>
    <w:p w14:paraId="5726B518" w14:textId="77777777" w:rsidR="00A4208E" w:rsidRPr="00E13871" w:rsidRDefault="00A4208E" w:rsidP="00912012">
      <w:pPr>
        <w:pStyle w:val="ListParagraph"/>
        <w:numPr>
          <w:ilvl w:val="0"/>
          <w:numId w:val="12"/>
        </w:numPr>
        <w:spacing w:after="60" w:line="240" w:lineRule="auto"/>
        <w:contextualSpacing w:val="0"/>
        <w:jc w:val="both"/>
        <w:rPr>
          <w:rFonts w:cs="Calibri Light"/>
        </w:rPr>
      </w:pPr>
      <w:r w:rsidRPr="00E13871">
        <w:rPr>
          <w:rFonts w:cs="Calibri Light"/>
        </w:rPr>
        <w:t xml:space="preserve">Link your documents, audits and other activities to the requirements of </w:t>
      </w:r>
      <w:r w:rsidR="008527A3">
        <w:rPr>
          <w:rFonts w:cs="Calibri Light"/>
        </w:rPr>
        <w:t>Standard</w:t>
      </w:r>
      <w:r w:rsidRPr="00E13871">
        <w:rPr>
          <w:rFonts w:cs="Calibri Light"/>
        </w:rPr>
        <w:t xml:space="preserve">s and </w:t>
      </w:r>
      <w:r w:rsidR="00200EB4" w:rsidRPr="00E13871">
        <w:rPr>
          <w:rFonts w:cs="Calibri Light"/>
        </w:rPr>
        <w:t xml:space="preserve">automatically </w:t>
      </w:r>
      <w:r w:rsidRPr="00E13871">
        <w:rPr>
          <w:rFonts w:cs="Calibri Light"/>
        </w:rPr>
        <w:t xml:space="preserve">generate an </w:t>
      </w:r>
      <w:r w:rsidR="009A5A0E">
        <w:rPr>
          <w:rFonts w:cs="Calibri Light"/>
        </w:rPr>
        <w:t>Evidence Report</w:t>
      </w:r>
    </w:p>
    <w:p w14:paraId="02FE50A2" w14:textId="77777777" w:rsidR="00A4208E" w:rsidRPr="00E13871" w:rsidRDefault="00A4208E" w:rsidP="00912012">
      <w:pPr>
        <w:pStyle w:val="ListParagraph"/>
        <w:numPr>
          <w:ilvl w:val="0"/>
          <w:numId w:val="12"/>
        </w:numPr>
        <w:spacing w:after="60" w:line="240" w:lineRule="auto"/>
        <w:contextualSpacing w:val="0"/>
        <w:jc w:val="both"/>
        <w:rPr>
          <w:rFonts w:cs="Calibri Light"/>
        </w:rPr>
      </w:pPr>
      <w:r w:rsidRPr="00E13871">
        <w:rPr>
          <w:rFonts w:cs="Calibri Light"/>
        </w:rPr>
        <w:t>Set automatic reminders to prepare for external audits detailing what needs to be done</w:t>
      </w:r>
    </w:p>
    <w:p w14:paraId="71681471" w14:textId="77777777" w:rsidR="00A4208E" w:rsidRPr="00E13871" w:rsidRDefault="00A4208E" w:rsidP="00912012">
      <w:pPr>
        <w:pStyle w:val="ListParagraph"/>
        <w:numPr>
          <w:ilvl w:val="0"/>
          <w:numId w:val="12"/>
        </w:numPr>
        <w:spacing w:after="60" w:line="240" w:lineRule="auto"/>
        <w:contextualSpacing w:val="0"/>
        <w:jc w:val="both"/>
        <w:rPr>
          <w:rFonts w:cs="Calibri Light"/>
        </w:rPr>
      </w:pPr>
      <w:r w:rsidRPr="00E13871">
        <w:rPr>
          <w:rFonts w:cs="Calibri Light"/>
        </w:rPr>
        <w:t xml:space="preserve">Give your auditor online or on-site access to view your </w:t>
      </w:r>
      <w:r w:rsidR="009A5A0E">
        <w:rPr>
          <w:rFonts w:cs="Calibri Light"/>
        </w:rPr>
        <w:t>Evidence Report</w:t>
      </w:r>
      <w:r w:rsidR="00200EB4" w:rsidRPr="00E13871">
        <w:rPr>
          <w:rFonts w:cs="Calibri Light"/>
        </w:rPr>
        <w:t xml:space="preserve"> with direct links to the relevant evidence for each assessment option</w:t>
      </w:r>
    </w:p>
    <w:p w14:paraId="40E518BB" w14:textId="77777777" w:rsidR="00A4208E" w:rsidRPr="00E13871" w:rsidRDefault="00A4208E" w:rsidP="00912012">
      <w:pPr>
        <w:pStyle w:val="ListParagraph"/>
        <w:numPr>
          <w:ilvl w:val="0"/>
          <w:numId w:val="12"/>
        </w:numPr>
        <w:spacing w:after="60" w:line="240" w:lineRule="auto"/>
        <w:contextualSpacing w:val="0"/>
        <w:jc w:val="both"/>
        <w:rPr>
          <w:rFonts w:cs="Calibri Light"/>
        </w:rPr>
      </w:pPr>
      <w:r w:rsidRPr="00E13871">
        <w:rPr>
          <w:rFonts w:cs="Calibri Light"/>
        </w:rPr>
        <w:t xml:space="preserve">Benefit from LOGIQC’s ‘knowledge bank’ of examples and pre-loaded requirements for compliance with </w:t>
      </w:r>
      <w:r w:rsidR="008527A3">
        <w:rPr>
          <w:rFonts w:cs="Calibri Light"/>
        </w:rPr>
        <w:t>Standard</w:t>
      </w:r>
      <w:r w:rsidRPr="00E13871">
        <w:rPr>
          <w:rFonts w:cs="Calibri Light"/>
        </w:rPr>
        <w:t>s</w:t>
      </w:r>
    </w:p>
    <w:p w14:paraId="2FF29B12" w14:textId="77777777" w:rsidR="00A4208E" w:rsidRDefault="00A4208E" w:rsidP="00A4208E">
      <w:pPr>
        <w:spacing w:after="60" w:line="240" w:lineRule="auto"/>
        <w:jc w:val="both"/>
      </w:pPr>
    </w:p>
    <w:p w14:paraId="0933D2EA" w14:textId="77777777" w:rsidR="00C7618E" w:rsidRDefault="00C7618E">
      <w:pPr>
        <w:spacing w:after="200"/>
      </w:pPr>
      <w:r>
        <w:br w:type="page"/>
      </w:r>
    </w:p>
    <w:p w14:paraId="242F1887" w14:textId="77777777" w:rsidR="00124AFD" w:rsidRDefault="00A8501A" w:rsidP="00A4208E">
      <w:pPr>
        <w:spacing w:after="60" w:line="240" w:lineRule="auto"/>
        <w:jc w:val="both"/>
        <w:rPr>
          <w:rFonts w:cs="Calibri Light"/>
        </w:rPr>
      </w:pPr>
      <w:r>
        <w:lastRenderedPageBreak/>
        <w:t xml:space="preserve">The </w:t>
      </w:r>
      <w:r w:rsidR="00124AFD" w:rsidRPr="00A4208E">
        <w:rPr>
          <w:rFonts w:cs="Calibri Light"/>
        </w:rPr>
        <w:t>Accreditation</w:t>
      </w:r>
      <w:r w:rsidR="000D59EB" w:rsidRPr="00A4208E">
        <w:rPr>
          <w:rFonts w:cs="Calibri Light"/>
        </w:rPr>
        <w:t xml:space="preserve"> M</w:t>
      </w:r>
      <w:r w:rsidRPr="00A4208E">
        <w:rPr>
          <w:rFonts w:cs="Calibri Light"/>
        </w:rPr>
        <w:t>odule has been developed in line with</w:t>
      </w:r>
      <w:r w:rsidR="00124AFD" w:rsidRPr="00A4208E">
        <w:rPr>
          <w:rFonts w:cs="Calibri Light"/>
        </w:rPr>
        <w:t xml:space="preserve"> international</w:t>
      </w:r>
      <w:r w:rsidRPr="00A4208E">
        <w:rPr>
          <w:rFonts w:cs="Calibri Light"/>
        </w:rPr>
        <w:t xml:space="preserve"> </w:t>
      </w:r>
      <w:r w:rsidR="00124AFD" w:rsidRPr="00A4208E">
        <w:rPr>
          <w:rFonts w:cs="Calibri Light"/>
        </w:rPr>
        <w:t xml:space="preserve">quality and clinical </w:t>
      </w:r>
      <w:r w:rsidR="008527A3">
        <w:rPr>
          <w:rFonts w:cs="Calibri Light"/>
        </w:rPr>
        <w:t>Standard</w:t>
      </w:r>
      <w:r w:rsidR="00124AFD" w:rsidRPr="00A4208E">
        <w:rPr>
          <w:rFonts w:cs="Calibri Light"/>
        </w:rPr>
        <w:t>s including:</w:t>
      </w:r>
    </w:p>
    <w:p w14:paraId="3DCCAB64" w14:textId="77777777" w:rsidR="00200EB4" w:rsidRPr="00A4208E" w:rsidRDefault="00200EB4" w:rsidP="00A4208E">
      <w:pPr>
        <w:spacing w:after="60" w:line="240" w:lineRule="auto"/>
        <w:jc w:val="both"/>
        <w:rPr>
          <w:rFonts w:cs="Calibri Light"/>
        </w:rPr>
      </w:pPr>
    </w:p>
    <w:p w14:paraId="6FD7E594"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ACHS </w:t>
      </w:r>
      <w:proofErr w:type="spellStart"/>
      <w:r w:rsidRPr="00A4208E">
        <w:rPr>
          <w:rFonts w:cs="Calibri Light"/>
        </w:rPr>
        <w:t>EQuIP</w:t>
      </w:r>
      <w:proofErr w:type="spellEnd"/>
      <w:r w:rsidRPr="00A4208E">
        <w:rPr>
          <w:rFonts w:cs="Calibri Light"/>
        </w:rPr>
        <w:t xml:space="preserve"> Day Procedure Centres Standards </w:t>
      </w:r>
    </w:p>
    <w:p w14:paraId="488F5F31"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ACHS </w:t>
      </w:r>
      <w:proofErr w:type="spellStart"/>
      <w:r w:rsidRPr="00A4208E">
        <w:rPr>
          <w:rFonts w:cs="Calibri Light"/>
        </w:rPr>
        <w:t>EQuIP</w:t>
      </w:r>
      <w:proofErr w:type="spellEnd"/>
      <w:r w:rsidRPr="00A4208E">
        <w:rPr>
          <w:rFonts w:cs="Calibri Light"/>
        </w:rPr>
        <w:t xml:space="preserve"> National Day Procedure Centres Standards </w:t>
      </w:r>
    </w:p>
    <w:p w14:paraId="3F43C187" w14:textId="77777777" w:rsid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ACHS EQuIP6</w:t>
      </w:r>
    </w:p>
    <w:p w14:paraId="25643302" w14:textId="77777777" w:rsidR="00C7618E" w:rsidRPr="00A420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Aged Care Quality Standards</w:t>
      </w:r>
    </w:p>
    <w:p w14:paraId="10059AD6"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AS/NZS 4187:2014 Reprocessing of reusable medical devices in health service organizations</w:t>
      </w:r>
    </w:p>
    <w:p w14:paraId="4211C5AE"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AS/NZS ISO 9001:2015 Quality management system - Requirements</w:t>
      </w:r>
    </w:p>
    <w:p w14:paraId="3ED9780E"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Department of Human Services Standards 2011</w:t>
      </w:r>
    </w:p>
    <w:p w14:paraId="37DF94BE" w14:textId="77777777" w:rsid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Human Services Quality Standards 2013</w:t>
      </w:r>
    </w:p>
    <w:p w14:paraId="175A06D5" w14:textId="77777777" w:rsidR="00C7618E" w:rsidRPr="00C7618E" w:rsidRDefault="00C7618E" w:rsidP="00C7618E">
      <w:pPr>
        <w:pStyle w:val="ListParagraph"/>
        <w:numPr>
          <w:ilvl w:val="0"/>
          <w:numId w:val="4"/>
        </w:numPr>
        <w:spacing w:after="60" w:line="240" w:lineRule="auto"/>
        <w:ind w:left="357" w:hanging="357"/>
        <w:contextualSpacing w:val="0"/>
        <w:jc w:val="both"/>
        <w:rPr>
          <w:rFonts w:cs="Calibri Light"/>
        </w:rPr>
      </w:pPr>
      <w:r>
        <w:rPr>
          <w:rFonts w:cs="Calibri Light"/>
        </w:rPr>
        <w:t>Licensing Standards for the Arrangements for Management, Staffing and Equipment. Day Hospital – Class A 2017</w:t>
      </w:r>
    </w:p>
    <w:p w14:paraId="73C4C9A1" w14:textId="77777777" w:rsid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National Quality Standards 2017</w:t>
      </w:r>
    </w:p>
    <w:p w14:paraId="5F7824CA" w14:textId="77777777" w:rsidR="00C761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National Quality Standards 2018</w:t>
      </w:r>
    </w:p>
    <w:p w14:paraId="1F284A9A" w14:textId="77777777" w:rsidR="00C7618E" w:rsidRPr="00A420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National Regulatory System for Community Housing</w:t>
      </w:r>
    </w:p>
    <w:p w14:paraId="67C2BB07"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National Safety and Quality Health Service Standards First Edition  </w:t>
      </w:r>
    </w:p>
    <w:p w14:paraId="348DE784" w14:textId="77777777" w:rsid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National Safety and Quality Health Service Standards Second Edition </w:t>
      </w:r>
    </w:p>
    <w:p w14:paraId="42F782FA" w14:textId="77777777" w:rsidR="00C761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National Standards for Disability Services Version 1</w:t>
      </w:r>
    </w:p>
    <w:p w14:paraId="2C688A5C" w14:textId="77777777" w:rsidR="00C761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National Standards for Mental Health Services 2010</w:t>
      </w:r>
    </w:p>
    <w:p w14:paraId="4190C795" w14:textId="77777777" w:rsidR="00C761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NSW Child safe Standards for Permanent Care 2015</w:t>
      </w:r>
    </w:p>
    <w:p w14:paraId="6A458900" w14:textId="77777777" w:rsidR="00C761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NSW Disability Service Standards 3</w:t>
      </w:r>
      <w:r w:rsidRPr="00C7618E">
        <w:rPr>
          <w:rFonts w:cs="Calibri Light"/>
          <w:vertAlign w:val="superscript"/>
        </w:rPr>
        <w:t>rd</w:t>
      </w:r>
      <w:r>
        <w:rPr>
          <w:rFonts w:cs="Calibri Light"/>
        </w:rPr>
        <w:t xml:space="preserve"> Edition 2016</w:t>
      </w:r>
    </w:p>
    <w:p w14:paraId="08A5B818" w14:textId="77777777" w:rsidR="00C7618E" w:rsidRPr="00A420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NT Quality and Safeguarding Framework 2016</w:t>
      </w:r>
    </w:p>
    <w:p w14:paraId="58942431"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NZS 8134:2008 Health and Disability Services (Core) Standards</w:t>
      </w:r>
    </w:p>
    <w:p w14:paraId="463D63D6"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NZS 8164:2005 Day-stay Surgery and Procedures</w:t>
      </w:r>
    </w:p>
    <w:p w14:paraId="3C2BE222"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NZS 8171:2005 Allied Health Services Sector Standards</w:t>
      </w:r>
    </w:p>
    <w:p w14:paraId="7A8F0093"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QIC Health and Community Services Standards 6th Edition</w:t>
      </w:r>
    </w:p>
    <w:p w14:paraId="5B15F984"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QIC Health and Community Services Standards 7th Edition</w:t>
      </w:r>
    </w:p>
    <w:p w14:paraId="75122F5E"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RACGP Standards for general practices 4th edition </w:t>
      </w:r>
    </w:p>
    <w:p w14:paraId="55B01100"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RACGP Standards for general practices 5th edition </w:t>
      </w:r>
    </w:p>
    <w:p w14:paraId="5E88FD8C"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RNZCUC Urgent Care Standard 2015</w:t>
      </w:r>
    </w:p>
    <w:p w14:paraId="4873C7D0" w14:textId="77777777" w:rsidR="00A4208E" w:rsidRP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RNZCGP </w:t>
      </w:r>
      <w:r w:rsidR="008527A3">
        <w:rPr>
          <w:rFonts w:cs="Calibri Light"/>
        </w:rPr>
        <w:t>Standard</w:t>
      </w:r>
      <w:r w:rsidRPr="00A4208E">
        <w:rPr>
          <w:rFonts w:cs="Calibri Light"/>
        </w:rPr>
        <w:t xml:space="preserve"> for New Zealand general practice Version 1.0 - June 2016</w:t>
      </w:r>
    </w:p>
    <w:p w14:paraId="1CC55C3E" w14:textId="77777777" w:rsidR="00A4208E"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RTAC Code of Practice 2017</w:t>
      </w:r>
    </w:p>
    <w:p w14:paraId="5A707CA8" w14:textId="77777777" w:rsidR="00C7618E" w:rsidRPr="00A420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Specialist Homelessness Service Standards 2016</w:t>
      </w:r>
    </w:p>
    <w:p w14:paraId="286B1379" w14:textId="77777777" w:rsidR="00124AFD" w:rsidRDefault="00A4208E" w:rsidP="00A4208E">
      <w:pPr>
        <w:pStyle w:val="ListParagraph"/>
        <w:numPr>
          <w:ilvl w:val="0"/>
          <w:numId w:val="4"/>
        </w:numPr>
        <w:spacing w:after="60" w:line="240" w:lineRule="auto"/>
        <w:ind w:left="357" w:hanging="357"/>
        <w:contextualSpacing w:val="0"/>
        <w:jc w:val="both"/>
        <w:rPr>
          <w:rFonts w:cs="Calibri Light"/>
        </w:rPr>
      </w:pPr>
      <w:r w:rsidRPr="00A4208E">
        <w:rPr>
          <w:rFonts w:cs="Calibri Light"/>
        </w:rPr>
        <w:t xml:space="preserve">Standard on Culturally Secure Practice (Alcohol and </w:t>
      </w:r>
      <w:proofErr w:type="gramStart"/>
      <w:r w:rsidRPr="00A4208E">
        <w:rPr>
          <w:rFonts w:cs="Calibri Light"/>
        </w:rPr>
        <w:t>other</w:t>
      </w:r>
      <w:proofErr w:type="gramEnd"/>
      <w:r w:rsidRPr="00A4208E">
        <w:rPr>
          <w:rFonts w:cs="Calibri Light"/>
        </w:rPr>
        <w:t xml:space="preserve"> Drug Sector) WANADA 1st Edition</w:t>
      </w:r>
    </w:p>
    <w:p w14:paraId="2ED6C5A6" w14:textId="77777777" w:rsidR="00C7618E" w:rsidRDefault="00C7618E" w:rsidP="00A4208E">
      <w:pPr>
        <w:pStyle w:val="ListParagraph"/>
        <w:numPr>
          <w:ilvl w:val="0"/>
          <w:numId w:val="4"/>
        </w:numPr>
        <w:spacing w:after="60" w:line="240" w:lineRule="auto"/>
        <w:ind w:left="357" w:hanging="357"/>
        <w:contextualSpacing w:val="0"/>
        <w:jc w:val="both"/>
        <w:rPr>
          <w:rFonts w:cs="Calibri Light"/>
        </w:rPr>
      </w:pPr>
      <w:r>
        <w:rPr>
          <w:rFonts w:cs="Calibri Light"/>
        </w:rPr>
        <w:t>Victorian Early Childhood Intervention Standards 2016</w:t>
      </w:r>
    </w:p>
    <w:p w14:paraId="00695018" w14:textId="77777777" w:rsidR="00A4208E" w:rsidRPr="00AC7FA6" w:rsidRDefault="00AC7FA6" w:rsidP="00AC7FA6">
      <w:pPr>
        <w:pStyle w:val="ListParagraph"/>
        <w:numPr>
          <w:ilvl w:val="0"/>
          <w:numId w:val="4"/>
        </w:numPr>
        <w:spacing w:after="60" w:line="240" w:lineRule="auto"/>
        <w:ind w:left="357" w:hanging="357"/>
        <w:contextualSpacing w:val="0"/>
        <w:jc w:val="both"/>
        <w:rPr>
          <w:rFonts w:cs="Calibri Light"/>
        </w:rPr>
      </w:pPr>
      <w:r>
        <w:rPr>
          <w:rFonts w:cs="Calibri Light"/>
        </w:rPr>
        <w:t>White Ribbon Australia Workplace Accreditation Program Standards and Criteria</w:t>
      </w:r>
      <w:r w:rsidR="00A4208E">
        <w:br w:type="page"/>
      </w:r>
    </w:p>
    <w:p w14:paraId="63325393" w14:textId="77777777" w:rsidR="005201A4" w:rsidRDefault="005771D1" w:rsidP="005771D1">
      <w:pPr>
        <w:pStyle w:val="Heading2"/>
        <w:numPr>
          <w:ilvl w:val="0"/>
          <w:numId w:val="2"/>
        </w:numPr>
      </w:pPr>
      <w:bookmarkStart w:id="11" w:name="_Toc7006431"/>
      <w:r>
        <w:lastRenderedPageBreak/>
        <w:t xml:space="preserve">LOGIQC </w:t>
      </w:r>
      <w:r w:rsidR="00F5349F">
        <w:t>Accreditation</w:t>
      </w:r>
      <w:r>
        <w:t xml:space="preserve"> Module </w:t>
      </w:r>
      <w:r w:rsidR="00F75EAB">
        <w:t>–</w:t>
      </w:r>
      <w:r>
        <w:t xml:space="preserve"> Workflow</w:t>
      </w:r>
      <w:bookmarkEnd w:id="11"/>
    </w:p>
    <w:p w14:paraId="1CBD2AB6" w14:textId="77777777" w:rsidR="00F42D78" w:rsidRPr="00F42D78" w:rsidRDefault="00F42D78" w:rsidP="00F42D78">
      <w:r>
        <w:t xml:space="preserve">The diagram bellow outlines the workflow of the LOGIQC QMS </w:t>
      </w:r>
      <w:r w:rsidR="00F5349F">
        <w:t>Accreditation</w:t>
      </w:r>
      <w:r>
        <w:t xml:space="preserve"> Module, which involves the following processes:  </w:t>
      </w:r>
    </w:p>
    <w:p w14:paraId="201C5718" w14:textId="77777777" w:rsidR="0070732A" w:rsidRPr="00200EB4" w:rsidRDefault="00F42D78" w:rsidP="00A54B68">
      <w:pPr>
        <w:ind w:left="1134" w:hanging="1134"/>
      </w:pPr>
      <w:r w:rsidRPr="00200EB4">
        <w:rPr>
          <w:b/>
        </w:rPr>
        <w:t>Process</w:t>
      </w:r>
      <w:r w:rsidR="00F75EAB" w:rsidRPr="00200EB4">
        <w:rPr>
          <w:b/>
        </w:rPr>
        <w:t xml:space="preserve"> 1</w:t>
      </w:r>
      <w:r w:rsidR="00F75EAB" w:rsidRPr="00200EB4">
        <w:tab/>
      </w:r>
      <w:r w:rsidR="0070732A" w:rsidRPr="00200EB4">
        <w:t>The</w:t>
      </w:r>
      <w:r w:rsidR="00A54B68" w:rsidRPr="00200EB4">
        <w:t xml:space="preserve"> </w:t>
      </w:r>
      <w:r w:rsidR="0070732A" w:rsidRPr="00200EB4">
        <w:t>Accreditation Details Form (ADF)</w:t>
      </w:r>
      <w:r w:rsidR="00A4208E" w:rsidRPr="00200EB4">
        <w:t xml:space="preserve"> </w:t>
      </w:r>
      <w:r w:rsidR="0070732A" w:rsidRPr="00200EB4">
        <w:t xml:space="preserve">will be drafted based on the </w:t>
      </w:r>
      <w:r w:rsidR="008527A3">
        <w:t>Standard</w:t>
      </w:r>
      <w:r w:rsidR="0070732A" w:rsidRPr="00200EB4">
        <w:t xml:space="preserve"> requirements purchased. The form will need to be reviewed and completed in full to describe how the requirements are met, link evidence and examples of meeting the requirement, allocate the responsibility for managing the ADF and assess the status of compliance in meeting the </w:t>
      </w:r>
      <w:r w:rsidR="008527A3">
        <w:t>Standard</w:t>
      </w:r>
      <w:r w:rsidR="0070732A" w:rsidRPr="00200EB4">
        <w:t xml:space="preserve"> requirement. </w:t>
      </w:r>
    </w:p>
    <w:p w14:paraId="7A45F86D" w14:textId="77777777" w:rsidR="00F75EAB" w:rsidRPr="00A4208E" w:rsidRDefault="00F42D78" w:rsidP="00A54B68">
      <w:pPr>
        <w:ind w:left="1134" w:hanging="1134"/>
      </w:pPr>
      <w:r w:rsidRPr="0070732A">
        <w:rPr>
          <w:b/>
        </w:rPr>
        <w:t>Pr</w:t>
      </w:r>
      <w:r w:rsidRPr="00A4208E">
        <w:rPr>
          <w:b/>
        </w:rPr>
        <w:t>ocess</w:t>
      </w:r>
      <w:r w:rsidR="00F75EAB" w:rsidRPr="00A4208E">
        <w:rPr>
          <w:b/>
        </w:rPr>
        <w:t xml:space="preserve"> 2</w:t>
      </w:r>
      <w:r w:rsidR="00F75EAB" w:rsidRPr="00A4208E">
        <w:tab/>
      </w:r>
      <w:r w:rsidR="00A4208E" w:rsidRPr="00A4208E">
        <w:t>A</w:t>
      </w:r>
      <w:r w:rsidR="00A54B68" w:rsidRPr="00A4208E">
        <w:t>DF</w:t>
      </w:r>
      <w:r w:rsidR="00F75EAB" w:rsidRPr="00A4208E">
        <w:t xml:space="preserve"> </w:t>
      </w:r>
      <w:r w:rsidR="00A54B68" w:rsidRPr="00A4208E">
        <w:t>is sent to</w:t>
      </w:r>
      <w:r w:rsidR="00F75EAB" w:rsidRPr="00A4208E">
        <w:t xml:space="preserve"> the </w:t>
      </w:r>
      <w:r w:rsidR="00A4208E" w:rsidRPr="00A4208E">
        <w:t>Quality</w:t>
      </w:r>
      <w:r w:rsidR="00F75EAB" w:rsidRPr="00A4208E">
        <w:t xml:space="preserve"> Manager to </w:t>
      </w:r>
      <w:r w:rsidR="00A54B68" w:rsidRPr="00A4208E">
        <w:t>check that</w:t>
      </w:r>
      <w:r w:rsidR="00F75EAB" w:rsidRPr="00A4208E">
        <w:t xml:space="preserve"> the </w:t>
      </w:r>
      <w:r w:rsidR="008527A3">
        <w:t>Standard</w:t>
      </w:r>
      <w:r w:rsidR="00A4208E" w:rsidRPr="00A4208E">
        <w:t xml:space="preserve"> requirement has been met with evidence and examples of meeting the requirements linked to the ADF. </w:t>
      </w:r>
    </w:p>
    <w:p w14:paraId="69585D17" w14:textId="77777777" w:rsidR="00A54B68" w:rsidRPr="00A4208E" w:rsidRDefault="00F42D78" w:rsidP="00A54B68">
      <w:pPr>
        <w:ind w:left="1134" w:hanging="1134"/>
      </w:pPr>
      <w:r w:rsidRPr="00A4208E">
        <w:rPr>
          <w:b/>
        </w:rPr>
        <w:t>Process</w:t>
      </w:r>
      <w:r w:rsidR="00A54B68" w:rsidRPr="00A4208E">
        <w:rPr>
          <w:b/>
        </w:rPr>
        <w:t xml:space="preserve"> 3</w:t>
      </w:r>
      <w:r w:rsidR="00A54B68" w:rsidRPr="00A4208E">
        <w:tab/>
        <w:t xml:space="preserve">If approved by the </w:t>
      </w:r>
      <w:r w:rsidR="00A4208E" w:rsidRPr="00A4208E">
        <w:t>Quality</w:t>
      </w:r>
      <w:r w:rsidR="00A54B68" w:rsidRPr="00A4208E">
        <w:t xml:space="preserve"> Manager, the </w:t>
      </w:r>
      <w:r w:rsidR="00A4208E" w:rsidRPr="00A4208E">
        <w:t>A</w:t>
      </w:r>
      <w:r w:rsidR="00A54B68" w:rsidRPr="00A4208E">
        <w:t>DF is sent to the Approving Office for sign off</w:t>
      </w:r>
    </w:p>
    <w:p w14:paraId="7DF81FFB" w14:textId="77777777" w:rsidR="00A54B68" w:rsidRPr="00A4208E" w:rsidRDefault="00F42D78" w:rsidP="00A54B68">
      <w:pPr>
        <w:ind w:left="1134" w:hanging="1134"/>
      </w:pPr>
      <w:r w:rsidRPr="00A4208E">
        <w:rPr>
          <w:b/>
        </w:rPr>
        <w:t>Process</w:t>
      </w:r>
      <w:r w:rsidR="00A54B68" w:rsidRPr="00A4208E">
        <w:rPr>
          <w:b/>
        </w:rPr>
        <w:t xml:space="preserve"> 4</w:t>
      </w:r>
      <w:r w:rsidR="00A54B68" w:rsidRPr="00A4208E">
        <w:tab/>
      </w:r>
      <w:r w:rsidR="00A4208E" w:rsidRPr="00A4208E">
        <w:t xml:space="preserve">Based on the review date set for the individual </w:t>
      </w:r>
      <w:r w:rsidR="008527A3">
        <w:t>Standard</w:t>
      </w:r>
      <w:r w:rsidR="00A4208E" w:rsidRPr="00A4208E">
        <w:t xml:space="preserve"> requirements</w:t>
      </w:r>
      <w:r w:rsidR="003355F6" w:rsidRPr="00A4208E">
        <w:t xml:space="preserve">, the </w:t>
      </w:r>
      <w:r w:rsidR="00A4208E" w:rsidRPr="00A4208E">
        <w:t>Quality</w:t>
      </w:r>
      <w:r w:rsidR="00A54B68" w:rsidRPr="00A4208E">
        <w:t xml:space="preserve"> Manager </w:t>
      </w:r>
      <w:r w:rsidR="003355F6" w:rsidRPr="00A4208E">
        <w:t xml:space="preserve">will be sent a task </w:t>
      </w:r>
      <w:r w:rsidR="00A54B68" w:rsidRPr="00A4208E">
        <w:t xml:space="preserve">to review the </w:t>
      </w:r>
      <w:r w:rsidR="00A4208E" w:rsidRPr="00A4208E">
        <w:t>ADF.</w:t>
      </w:r>
    </w:p>
    <w:p w14:paraId="32EFDE37" w14:textId="77777777" w:rsidR="003355F6" w:rsidRPr="0070732A" w:rsidRDefault="00F42D78" w:rsidP="00A54B68">
      <w:pPr>
        <w:ind w:left="1134" w:hanging="1134"/>
      </w:pPr>
      <w:r w:rsidRPr="0070732A">
        <w:rPr>
          <w:b/>
        </w:rPr>
        <w:t>Process</w:t>
      </w:r>
      <w:r w:rsidR="00A54B68" w:rsidRPr="0070732A">
        <w:rPr>
          <w:b/>
        </w:rPr>
        <w:t xml:space="preserve"> 5</w:t>
      </w:r>
      <w:r w:rsidR="00A54B68" w:rsidRPr="0070732A">
        <w:tab/>
      </w:r>
      <w:r w:rsidR="003355F6" w:rsidRPr="0070732A">
        <w:t xml:space="preserve">If required, the </w:t>
      </w:r>
      <w:r w:rsidR="0070732A" w:rsidRPr="0070732A">
        <w:t>Quality</w:t>
      </w:r>
      <w:r w:rsidR="00A54B68" w:rsidRPr="0070732A">
        <w:t xml:space="preserve"> Manager </w:t>
      </w:r>
      <w:r w:rsidR="003355F6" w:rsidRPr="0070732A">
        <w:t>will push the</w:t>
      </w:r>
      <w:r w:rsidR="0070732A" w:rsidRPr="0070732A">
        <w:t xml:space="preserve"> </w:t>
      </w:r>
      <w:r w:rsidR="008527A3">
        <w:t>Standard</w:t>
      </w:r>
      <w:r w:rsidR="0070732A" w:rsidRPr="0070732A">
        <w:t xml:space="preserve"> requirement</w:t>
      </w:r>
      <w:r w:rsidR="003355F6" w:rsidRPr="0070732A">
        <w:t xml:space="preserve"> into the “review” phase of the workflow. As part of the review the following processes will be undertaken:</w:t>
      </w:r>
    </w:p>
    <w:p w14:paraId="372CAB8A" w14:textId="77777777" w:rsidR="00200EB4" w:rsidRPr="00200EB4" w:rsidRDefault="00200EB4" w:rsidP="00200EB4">
      <w:pPr>
        <w:pStyle w:val="ListParagraph"/>
        <w:numPr>
          <w:ilvl w:val="0"/>
          <w:numId w:val="6"/>
        </w:numPr>
        <w:ind w:left="1418" w:hanging="284"/>
      </w:pPr>
      <w:r w:rsidRPr="00200EB4">
        <w:t>Review t</w:t>
      </w:r>
      <w:r w:rsidR="0070732A" w:rsidRPr="00200EB4">
        <w:t xml:space="preserve">he status of the </w:t>
      </w:r>
      <w:r w:rsidR="008527A3">
        <w:t>Standard</w:t>
      </w:r>
      <w:r w:rsidR="0070732A" w:rsidRPr="00200EB4">
        <w:t xml:space="preserve"> requirement (met, part met, not met, NA)</w:t>
      </w:r>
    </w:p>
    <w:p w14:paraId="47BD9284" w14:textId="77777777" w:rsidR="00200EB4" w:rsidRPr="00200EB4" w:rsidRDefault="00200EB4" w:rsidP="00200EB4">
      <w:pPr>
        <w:pStyle w:val="ListParagraph"/>
        <w:numPr>
          <w:ilvl w:val="0"/>
          <w:numId w:val="6"/>
        </w:numPr>
        <w:ind w:left="1418" w:hanging="284"/>
      </w:pPr>
      <w:r w:rsidRPr="00200EB4">
        <w:t>Review to what extent the linked evidence is compliant with the requirements based on the status</w:t>
      </w:r>
    </w:p>
    <w:p w14:paraId="4EAAB36F" w14:textId="77777777" w:rsidR="00200EB4" w:rsidRPr="00200EB4" w:rsidRDefault="00200EB4" w:rsidP="00200EB4">
      <w:pPr>
        <w:pStyle w:val="ListParagraph"/>
        <w:numPr>
          <w:ilvl w:val="0"/>
          <w:numId w:val="6"/>
        </w:numPr>
        <w:ind w:left="1418" w:hanging="284"/>
      </w:pPr>
      <w:r w:rsidRPr="00200EB4">
        <w:t xml:space="preserve">Review the individual </w:t>
      </w:r>
      <w:r w:rsidR="009A5A0E">
        <w:t>Assessment Details Form</w:t>
      </w:r>
      <w:r w:rsidRPr="00200EB4">
        <w:t xml:space="preserve">s to ensure they are accurate and revise, if required. Specifically, reviewing the “How the requirements are met” field and the linked evidence. Link additional evidence if required and update the assessment status. </w:t>
      </w:r>
    </w:p>
    <w:p w14:paraId="05B28F3B" w14:textId="77777777" w:rsidR="00200EB4" w:rsidRPr="00200EB4" w:rsidRDefault="00200EB4" w:rsidP="00200EB4">
      <w:pPr>
        <w:pStyle w:val="ListParagraph"/>
        <w:numPr>
          <w:ilvl w:val="0"/>
          <w:numId w:val="6"/>
        </w:numPr>
        <w:ind w:left="1418" w:hanging="284"/>
      </w:pPr>
      <w:r w:rsidRPr="00200EB4">
        <w:t xml:space="preserve">Review the status of the </w:t>
      </w:r>
      <w:r w:rsidR="00063BC4">
        <w:t>Accreditation Action Plan</w:t>
      </w:r>
      <w:r w:rsidRPr="00200EB4">
        <w:t xml:space="preserve"> tasks</w:t>
      </w:r>
    </w:p>
    <w:p w14:paraId="2E2D7F1C" w14:textId="77777777" w:rsidR="00200EB4" w:rsidRPr="00200EB4" w:rsidRDefault="00200EB4" w:rsidP="00200EB4">
      <w:pPr>
        <w:pStyle w:val="ListParagraph"/>
        <w:numPr>
          <w:ilvl w:val="0"/>
          <w:numId w:val="6"/>
        </w:numPr>
        <w:ind w:left="1418" w:hanging="284"/>
      </w:pPr>
      <w:r w:rsidRPr="00200EB4">
        <w:t>Add additional accreditation action tasks to better comply with and meet the assessment requirements</w:t>
      </w:r>
    </w:p>
    <w:p w14:paraId="22722340" w14:textId="77777777" w:rsidR="00200EB4" w:rsidRPr="00063BC4" w:rsidRDefault="00200EB4" w:rsidP="00200EB4">
      <w:pPr>
        <w:pStyle w:val="ListParagraph"/>
        <w:numPr>
          <w:ilvl w:val="0"/>
          <w:numId w:val="6"/>
        </w:numPr>
        <w:ind w:left="1418" w:hanging="284"/>
      </w:pPr>
      <w:r w:rsidRPr="00200EB4">
        <w:t>Review the linkages with incident types and feedback categories and revise, if required</w:t>
      </w:r>
    </w:p>
    <w:p w14:paraId="0FBF0C12" w14:textId="77777777" w:rsidR="00A54B68" w:rsidRPr="00F5349F" w:rsidRDefault="00F42D78" w:rsidP="00F42D78">
      <w:pPr>
        <w:ind w:left="1134" w:hanging="1134"/>
        <w:rPr>
          <w:color w:val="FF0000"/>
        </w:rPr>
      </w:pPr>
      <w:r w:rsidRPr="0070732A">
        <w:rPr>
          <w:b/>
        </w:rPr>
        <w:t>Process</w:t>
      </w:r>
      <w:r w:rsidR="00A54B68" w:rsidRPr="0070732A">
        <w:rPr>
          <w:b/>
        </w:rPr>
        <w:t xml:space="preserve"> 6</w:t>
      </w:r>
      <w:r w:rsidR="00A54B68" w:rsidRPr="0070732A">
        <w:tab/>
      </w:r>
      <w:r w:rsidRPr="00A4208E">
        <w:t xml:space="preserve">Workflow </w:t>
      </w:r>
      <w:r w:rsidR="00A54B68" w:rsidRPr="00A4208E">
        <w:t>return</w:t>
      </w:r>
      <w:r w:rsidRPr="00A4208E">
        <w:t>s</w:t>
      </w:r>
      <w:r w:rsidR="00A54B68" w:rsidRPr="00A4208E">
        <w:t xml:space="preserve"> to step 2 </w:t>
      </w:r>
    </w:p>
    <w:p w14:paraId="2F3EBC66" w14:textId="77777777" w:rsidR="009D1DA8" w:rsidRDefault="009D1DA8" w:rsidP="00F42D78">
      <w:pPr>
        <w:ind w:left="1134" w:hanging="1134"/>
      </w:pPr>
    </w:p>
    <w:p w14:paraId="14CE4ED4" w14:textId="77777777" w:rsidR="00F5349F" w:rsidRPr="007C2705" w:rsidRDefault="00F5349F" w:rsidP="00F5349F">
      <w:pPr>
        <w:pStyle w:val="ListParagraph"/>
        <w:ind w:left="360"/>
      </w:pPr>
      <w:r>
        <w:rPr>
          <w:noProof/>
          <w:lang w:eastAsia="en-AU"/>
        </w:rPr>
        <w:drawing>
          <wp:inline distT="0" distB="0" distL="0" distR="0" wp14:anchorId="217D8CF1" wp14:editId="6894C41A">
            <wp:extent cx="6372225" cy="1134110"/>
            <wp:effectExtent l="0" t="0" r="952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72225" cy="1134110"/>
                    </a:xfrm>
                    <a:prstGeom prst="rect">
                      <a:avLst/>
                    </a:prstGeom>
                  </pic:spPr>
                </pic:pic>
              </a:graphicData>
            </a:graphic>
          </wp:inline>
        </w:drawing>
      </w:r>
    </w:p>
    <w:p w14:paraId="49B2D037" w14:textId="77777777" w:rsidR="00F5349F" w:rsidRPr="00F5349F" w:rsidRDefault="00F5349F" w:rsidP="00F5349F">
      <w:pPr>
        <w:pStyle w:val="ListParagraph"/>
        <w:numPr>
          <w:ilvl w:val="0"/>
          <w:numId w:val="2"/>
        </w:numPr>
        <w:rPr>
          <w:rFonts w:eastAsiaTheme="majorEastAsia" w:cstheme="minorHAnsi"/>
          <w:b/>
          <w:sz w:val="22"/>
          <w:szCs w:val="26"/>
          <w:lang w:eastAsia="en-AU"/>
        </w:rPr>
      </w:pPr>
      <w:r>
        <w:br w:type="page"/>
      </w:r>
    </w:p>
    <w:p w14:paraId="6BEAA678" w14:textId="77777777" w:rsidR="002D4B63" w:rsidRDefault="002D4B63" w:rsidP="00964B3B">
      <w:pPr>
        <w:pStyle w:val="Heading2"/>
        <w:numPr>
          <w:ilvl w:val="0"/>
          <w:numId w:val="2"/>
        </w:numPr>
      </w:pPr>
      <w:bookmarkStart w:id="12" w:name="_Toc7006432"/>
      <w:r w:rsidRPr="002D4B63">
        <w:lastRenderedPageBreak/>
        <w:t xml:space="preserve">How to navigate within the </w:t>
      </w:r>
      <w:r w:rsidR="00892A63">
        <w:t>Accreditation M</w:t>
      </w:r>
      <w:r w:rsidRPr="002D4B63">
        <w:t>odule</w:t>
      </w:r>
      <w:bookmarkEnd w:id="12"/>
    </w:p>
    <w:p w14:paraId="2401374A" w14:textId="77777777" w:rsidR="007B7369" w:rsidRPr="007B7369" w:rsidRDefault="00892A63" w:rsidP="00964B3B">
      <w:pPr>
        <w:pStyle w:val="ListParagraph"/>
        <w:numPr>
          <w:ilvl w:val="1"/>
          <w:numId w:val="2"/>
        </w:numPr>
        <w:rPr>
          <w:b/>
        </w:rPr>
      </w:pPr>
      <w:r>
        <w:rPr>
          <w:b/>
        </w:rPr>
        <w:t>Accreditation</w:t>
      </w:r>
      <w:r w:rsidR="007B7369" w:rsidRPr="007B7369">
        <w:rPr>
          <w:b/>
        </w:rPr>
        <w:t xml:space="preserve"> </w:t>
      </w:r>
      <w:r>
        <w:rPr>
          <w:b/>
        </w:rPr>
        <w:t>M</w:t>
      </w:r>
      <w:r w:rsidR="007B7369" w:rsidRPr="007B7369">
        <w:rPr>
          <w:b/>
        </w:rPr>
        <w:t xml:space="preserve">odule Tabs </w:t>
      </w:r>
    </w:p>
    <w:p w14:paraId="5DB2E8B9" w14:textId="77777777" w:rsidR="002D4B63" w:rsidRDefault="002D4B63" w:rsidP="007B7369">
      <w:pPr>
        <w:ind w:left="360"/>
      </w:pPr>
      <w:r>
        <w:t xml:space="preserve">To access the </w:t>
      </w:r>
      <w:r w:rsidR="009A5A0E">
        <w:t>Accreditation Module</w:t>
      </w:r>
      <w:r>
        <w:t>, you will need to select “</w:t>
      </w:r>
      <w:r w:rsidR="002677C8">
        <w:t>accreditation</w:t>
      </w:r>
      <w:r>
        <w:t xml:space="preserve">” from the registers heading.  </w:t>
      </w:r>
    </w:p>
    <w:p w14:paraId="3396EF0E" w14:textId="77777777" w:rsidR="007B7369" w:rsidRDefault="007B7369" w:rsidP="007B7369">
      <w:pPr>
        <w:spacing w:after="0"/>
        <w:ind w:left="360"/>
      </w:pPr>
      <w:r>
        <w:t xml:space="preserve">There are </w:t>
      </w:r>
      <w:r w:rsidR="002677C8">
        <w:t>7</w:t>
      </w:r>
      <w:r>
        <w:t xml:space="preserve"> ‘tabs’ along the top of the </w:t>
      </w:r>
      <w:r w:rsidR="009A5A0E">
        <w:t>Accreditation Module</w:t>
      </w:r>
      <w:r>
        <w:t xml:space="preserve">: </w:t>
      </w:r>
    </w:p>
    <w:p w14:paraId="405DAA80" w14:textId="77777777" w:rsidR="007B7369" w:rsidRDefault="007B7369" w:rsidP="00964B3B">
      <w:pPr>
        <w:pStyle w:val="ListParagraph"/>
        <w:numPr>
          <w:ilvl w:val="0"/>
          <w:numId w:val="3"/>
        </w:numPr>
      </w:pPr>
      <w:bookmarkStart w:id="13" w:name="_Hlk508373334"/>
      <w:r>
        <w:t xml:space="preserve">The </w:t>
      </w:r>
      <w:r w:rsidR="002677C8">
        <w:rPr>
          <w:b/>
        </w:rPr>
        <w:t>Requirements</w:t>
      </w:r>
      <w:r>
        <w:t xml:space="preserve"> tab displays the </w:t>
      </w:r>
      <w:r w:rsidR="008527A3">
        <w:t>Standard</w:t>
      </w:r>
      <w:r w:rsidR="002677C8">
        <w:t xml:space="preserve"> requirements</w:t>
      </w:r>
      <w:r>
        <w:t xml:space="preserve"> currently </w:t>
      </w:r>
      <w:r w:rsidR="0080257C">
        <w:t>published</w:t>
      </w:r>
      <w:r w:rsidR="002677C8">
        <w:t xml:space="preserve"> in the LOGIQC QMS</w:t>
      </w:r>
      <w:r>
        <w:t>.</w:t>
      </w:r>
    </w:p>
    <w:p w14:paraId="6462D61A" w14:textId="77777777" w:rsidR="007B7369" w:rsidRDefault="007B7369" w:rsidP="00964B3B">
      <w:pPr>
        <w:pStyle w:val="ListParagraph"/>
        <w:numPr>
          <w:ilvl w:val="0"/>
          <w:numId w:val="3"/>
        </w:numPr>
      </w:pPr>
      <w:r>
        <w:t xml:space="preserve">The </w:t>
      </w:r>
      <w:r w:rsidR="0080257C">
        <w:rPr>
          <w:b/>
        </w:rPr>
        <w:t>Assessment</w:t>
      </w:r>
      <w:r>
        <w:t xml:space="preserve"> tab displays</w:t>
      </w:r>
      <w:r w:rsidR="0080257C">
        <w:t xml:space="preserve"> individual assessment forms that are assessed as part of meeting the requirements. </w:t>
      </w:r>
    </w:p>
    <w:p w14:paraId="3EBC88F9" w14:textId="77777777" w:rsidR="007B7369" w:rsidRDefault="007B7369" w:rsidP="00964B3B">
      <w:pPr>
        <w:pStyle w:val="ListParagraph"/>
        <w:numPr>
          <w:ilvl w:val="0"/>
          <w:numId w:val="3"/>
        </w:numPr>
      </w:pPr>
      <w:r>
        <w:t xml:space="preserve">The </w:t>
      </w:r>
      <w:r w:rsidR="00560359">
        <w:rPr>
          <w:b/>
        </w:rPr>
        <w:t>Accreditation Action Plan</w:t>
      </w:r>
      <w:r>
        <w:t xml:space="preserve"> tab displays a current list of actions that are in place to </w:t>
      </w:r>
      <w:r w:rsidR="00560359">
        <w:t xml:space="preserve">further meet the requirements of the </w:t>
      </w:r>
      <w:r w:rsidR="008527A3">
        <w:t>Standard</w:t>
      </w:r>
      <w:r w:rsidR="00560359">
        <w:t>s.</w:t>
      </w:r>
    </w:p>
    <w:p w14:paraId="61DF9704" w14:textId="77777777" w:rsidR="007B7369" w:rsidRDefault="007B7369" w:rsidP="00964B3B">
      <w:pPr>
        <w:pStyle w:val="ListParagraph"/>
        <w:numPr>
          <w:ilvl w:val="0"/>
          <w:numId w:val="3"/>
        </w:numPr>
      </w:pPr>
      <w:r>
        <w:t xml:space="preserve">The </w:t>
      </w:r>
      <w:r w:rsidR="00560359">
        <w:rPr>
          <w:b/>
        </w:rPr>
        <w:t>Evidence</w:t>
      </w:r>
      <w:r>
        <w:t xml:space="preserve"> </w:t>
      </w:r>
      <w:r w:rsidR="00560359" w:rsidRPr="00560359">
        <w:rPr>
          <w:b/>
        </w:rPr>
        <w:t>Report</w:t>
      </w:r>
      <w:r w:rsidR="00560359">
        <w:t xml:space="preserve"> </w:t>
      </w:r>
      <w:r>
        <w:t xml:space="preserve">tab displays </w:t>
      </w:r>
      <w:r w:rsidR="00560359">
        <w:t xml:space="preserve">a report for each assessment indicator displaying the evidence and examples linked from other registers within the LOGIQC QMS to the </w:t>
      </w:r>
      <w:r w:rsidR="008527A3">
        <w:t>Standard</w:t>
      </w:r>
      <w:r w:rsidR="00560359">
        <w:t xml:space="preserve"> requirements at the assessment level. This report displays the status of the evidence and a direct link open and view the full details of each example of evidence. </w:t>
      </w:r>
    </w:p>
    <w:p w14:paraId="59B15722" w14:textId="77777777" w:rsidR="00560359" w:rsidRDefault="007B7369" w:rsidP="00964B3B">
      <w:pPr>
        <w:pStyle w:val="ListParagraph"/>
        <w:numPr>
          <w:ilvl w:val="0"/>
          <w:numId w:val="3"/>
        </w:numPr>
      </w:pPr>
      <w:r>
        <w:t xml:space="preserve">The </w:t>
      </w:r>
      <w:r w:rsidRPr="007B7369">
        <w:rPr>
          <w:b/>
        </w:rPr>
        <w:t xml:space="preserve">Workflow </w:t>
      </w:r>
      <w:r>
        <w:t>tab displays the list of</w:t>
      </w:r>
      <w:r w:rsidR="00560359">
        <w:t xml:space="preserve"> </w:t>
      </w:r>
      <w:r w:rsidR="00063BC4">
        <w:t>Accreditation Details Form</w:t>
      </w:r>
      <w:r w:rsidR="00560359">
        <w:t>s</w:t>
      </w:r>
      <w:r>
        <w:t xml:space="preserve"> </w:t>
      </w:r>
      <w:r w:rsidR="00560359">
        <w:t xml:space="preserve">at the requirements level </w:t>
      </w:r>
      <w:r>
        <w:t xml:space="preserve">with information as to where in the workflow the </w:t>
      </w:r>
      <w:r w:rsidR="008527A3">
        <w:t>Standard</w:t>
      </w:r>
      <w:r w:rsidR="00560359">
        <w:t xml:space="preserve"> requirement is</w:t>
      </w:r>
      <w:r>
        <w:t xml:space="preserve"> currently in and </w:t>
      </w:r>
      <w:r w:rsidR="00560359">
        <w:t xml:space="preserve">the allocation of responsibility of that task. </w:t>
      </w:r>
    </w:p>
    <w:p w14:paraId="036895A9" w14:textId="77777777" w:rsidR="007B7369" w:rsidRDefault="007B7369" w:rsidP="00964B3B">
      <w:pPr>
        <w:pStyle w:val="ListParagraph"/>
        <w:numPr>
          <w:ilvl w:val="0"/>
          <w:numId w:val="3"/>
        </w:numPr>
      </w:pPr>
      <w:r>
        <w:t xml:space="preserve">The </w:t>
      </w:r>
      <w:r>
        <w:rPr>
          <w:b/>
        </w:rPr>
        <w:t xml:space="preserve">Draft </w:t>
      </w:r>
      <w:r>
        <w:t xml:space="preserve">tab displays the drafted </w:t>
      </w:r>
      <w:r w:rsidR="00063BC4">
        <w:t>Accreditation Details Form</w:t>
      </w:r>
      <w:r w:rsidR="00560359">
        <w:t xml:space="preserve">s at the requirements level. </w:t>
      </w:r>
      <w:r>
        <w:t>These detail</w:t>
      </w:r>
      <w:r w:rsidR="00560359">
        <w:t>s</w:t>
      </w:r>
      <w:r>
        <w:t xml:space="preserve"> forms will not generate tasks and are not part of the workflow until they are saved and </w:t>
      </w:r>
      <w:r w:rsidR="00560359">
        <w:t>published</w:t>
      </w:r>
      <w:r>
        <w:t xml:space="preserve"> to the </w:t>
      </w:r>
      <w:r w:rsidR="00560359">
        <w:t>requirements</w:t>
      </w:r>
      <w:r>
        <w:t xml:space="preserve"> tab. </w:t>
      </w:r>
    </w:p>
    <w:p w14:paraId="5E4233DB" w14:textId="77777777" w:rsidR="0080257C" w:rsidRDefault="0080257C" w:rsidP="00560359">
      <w:pPr>
        <w:pStyle w:val="ListParagraph"/>
        <w:numPr>
          <w:ilvl w:val="0"/>
          <w:numId w:val="3"/>
        </w:numPr>
      </w:pPr>
      <w:r>
        <w:t xml:space="preserve">The </w:t>
      </w:r>
      <w:r w:rsidR="00560359" w:rsidRPr="00560359">
        <w:rPr>
          <w:b/>
        </w:rPr>
        <w:t>U</w:t>
      </w:r>
      <w:r w:rsidRPr="00560359">
        <w:rPr>
          <w:b/>
        </w:rPr>
        <w:t>npublished</w:t>
      </w:r>
      <w:r>
        <w:t xml:space="preserve"> tab displays </w:t>
      </w:r>
      <w:r w:rsidR="00560359">
        <w:t>requirements</w:t>
      </w:r>
      <w:r>
        <w:t xml:space="preserve"> that have been </w:t>
      </w:r>
      <w:r w:rsidR="00560359">
        <w:t xml:space="preserve">unpublished and are no longer required to be managed or maintained within the </w:t>
      </w:r>
      <w:r w:rsidR="009A5A0E">
        <w:t>Accreditation Module</w:t>
      </w:r>
      <w:r w:rsidR="00560359">
        <w:t xml:space="preserve">. </w:t>
      </w:r>
    </w:p>
    <w:bookmarkEnd w:id="13"/>
    <w:p w14:paraId="2CCC52FE" w14:textId="77777777" w:rsidR="00CF39C6" w:rsidRPr="00F90B32" w:rsidRDefault="007B7369" w:rsidP="00FA7513">
      <w:pPr>
        <w:spacing w:before="80" w:after="80"/>
        <w:ind w:left="360"/>
        <w:rPr>
          <w:sz w:val="22"/>
        </w:rPr>
      </w:pPr>
      <w:r>
        <w:rPr>
          <w:noProof/>
        </w:rPr>
        <w:drawing>
          <wp:inline distT="0" distB="0" distL="0" distR="0" wp14:anchorId="2E340F62" wp14:editId="1E3EF8B2">
            <wp:extent cx="6286310" cy="934592"/>
            <wp:effectExtent l="19050" t="19050" r="1968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86310" cy="934592"/>
                    </a:xfrm>
                    <a:prstGeom prst="rect">
                      <a:avLst/>
                    </a:prstGeom>
                    <a:ln>
                      <a:solidFill>
                        <a:schemeClr val="bg1">
                          <a:lumMod val="75000"/>
                        </a:schemeClr>
                      </a:solidFill>
                    </a:ln>
                  </pic:spPr>
                </pic:pic>
              </a:graphicData>
            </a:graphic>
          </wp:inline>
        </w:drawing>
      </w:r>
    </w:p>
    <w:p w14:paraId="3598AC79" w14:textId="77777777" w:rsidR="007B7369" w:rsidRPr="00912012" w:rsidRDefault="007B7369" w:rsidP="007B7369">
      <w:pPr>
        <w:pStyle w:val="ListParagraph"/>
        <w:ind w:left="792"/>
        <w:rPr>
          <w:b/>
          <w:sz w:val="12"/>
        </w:rPr>
      </w:pPr>
    </w:p>
    <w:p w14:paraId="3D1D5B66" w14:textId="77777777" w:rsidR="00FC29D9" w:rsidRDefault="00FC29D9" w:rsidP="00964B3B">
      <w:pPr>
        <w:pStyle w:val="ListParagraph"/>
        <w:numPr>
          <w:ilvl w:val="1"/>
          <w:numId w:val="2"/>
        </w:numPr>
        <w:rPr>
          <w:b/>
        </w:rPr>
      </w:pPr>
      <w:r>
        <w:rPr>
          <w:b/>
        </w:rPr>
        <w:t>Navigating through the</w:t>
      </w:r>
      <w:r w:rsidR="00912012">
        <w:rPr>
          <w:b/>
        </w:rPr>
        <w:t xml:space="preserve"> Accreditation Module</w:t>
      </w:r>
    </w:p>
    <w:p w14:paraId="2A482FCC" w14:textId="77777777" w:rsidR="00FC29D9" w:rsidRDefault="00FC29D9" w:rsidP="00912012">
      <w:pPr>
        <w:pStyle w:val="ListParagraph"/>
        <w:numPr>
          <w:ilvl w:val="0"/>
          <w:numId w:val="3"/>
        </w:numPr>
      </w:pPr>
      <w:r w:rsidRPr="00FC29D9">
        <w:t xml:space="preserve">The </w:t>
      </w:r>
      <w:r w:rsidRPr="00912012">
        <w:rPr>
          <w:b/>
        </w:rPr>
        <w:t>search</w:t>
      </w:r>
      <w:r w:rsidRPr="00FC29D9">
        <w:t xml:space="preserve"> bar allows the user to search for </w:t>
      </w:r>
      <w:r w:rsidR="008527A3">
        <w:t>Standard</w:t>
      </w:r>
      <w:r w:rsidR="00560359">
        <w:t xml:space="preserve"> requirements </w:t>
      </w:r>
      <w:r w:rsidRPr="00FC29D9">
        <w:t xml:space="preserve">based on the </w:t>
      </w:r>
      <w:r w:rsidR="00560359">
        <w:t>requirement description</w:t>
      </w:r>
      <w:r w:rsidR="00FA7513">
        <w:t xml:space="preserve"> or the ID# of the </w:t>
      </w:r>
      <w:r w:rsidR="00560359">
        <w:t xml:space="preserve">ADF. </w:t>
      </w:r>
      <w:r w:rsidRPr="00FC29D9">
        <w:t xml:space="preserve"> </w:t>
      </w:r>
    </w:p>
    <w:p w14:paraId="2E5E737C" w14:textId="77777777" w:rsidR="00FA7513" w:rsidRDefault="00FA7513" w:rsidP="00912012">
      <w:pPr>
        <w:pStyle w:val="ListParagraph"/>
        <w:numPr>
          <w:ilvl w:val="0"/>
          <w:numId w:val="3"/>
        </w:numPr>
      </w:pPr>
      <w:r>
        <w:t xml:space="preserve">The </w:t>
      </w:r>
      <w:r w:rsidR="008527A3">
        <w:t>Standard</w:t>
      </w:r>
      <w:r w:rsidR="00560359">
        <w:t xml:space="preserve"> requirements</w:t>
      </w:r>
      <w:r>
        <w:t xml:space="preserve"> in the register view are displayed in order based on the </w:t>
      </w:r>
      <w:r w:rsidR="00912012">
        <w:t>reference number</w:t>
      </w:r>
      <w:r>
        <w:t xml:space="preserve"> of the </w:t>
      </w:r>
      <w:r w:rsidR="008527A3">
        <w:t>Standard</w:t>
      </w:r>
      <w:r w:rsidR="00560359">
        <w:t xml:space="preserve"> requirement</w:t>
      </w:r>
      <w:r>
        <w:t xml:space="preserve"> by default. The column titles allow the user to click on the title of the column </w:t>
      </w:r>
      <w:r w:rsidRPr="00912012">
        <w:rPr>
          <w:b/>
        </w:rPr>
        <w:t>to sort the content in alphabetical or numerical order</w:t>
      </w:r>
      <w:r>
        <w:t xml:space="preserve"> based on that column. E.g. Click on the “</w:t>
      </w:r>
      <w:r w:rsidR="00912012">
        <w:t>Accreditation requirement</w:t>
      </w:r>
      <w:r>
        <w:t xml:space="preserve">” title in the </w:t>
      </w:r>
      <w:r w:rsidR="00912012">
        <w:t>third</w:t>
      </w:r>
      <w:r>
        <w:t xml:space="preserve"> column to sort the </w:t>
      </w:r>
      <w:r w:rsidR="008527A3">
        <w:t>Standard</w:t>
      </w:r>
      <w:r w:rsidR="00912012">
        <w:t xml:space="preserve"> requirements</w:t>
      </w:r>
      <w:r>
        <w:t xml:space="preserve"> in alphabetical order. Clicking again will reverse the sort order. </w:t>
      </w:r>
    </w:p>
    <w:p w14:paraId="788135BC" w14:textId="77777777" w:rsidR="00FA7513" w:rsidRDefault="00FA7513" w:rsidP="00912012">
      <w:pPr>
        <w:pStyle w:val="ListParagraph"/>
        <w:numPr>
          <w:ilvl w:val="0"/>
          <w:numId w:val="3"/>
        </w:numPr>
      </w:pPr>
      <w:r>
        <w:t xml:space="preserve">The </w:t>
      </w:r>
      <w:r w:rsidRPr="00912012">
        <w:rPr>
          <w:b/>
        </w:rPr>
        <w:t>column filters</w:t>
      </w:r>
      <w:r>
        <w:t xml:space="preserve"> are displayed as small blue triangles on the left hand-side of some of the register columns and enable the user </w:t>
      </w:r>
      <w:r w:rsidR="008D2416">
        <w:t>to select options from that column to be filtered. E.g. Click on the blue triangle in the “</w:t>
      </w:r>
      <w:r w:rsidR="008527A3">
        <w:t>Self-assessment</w:t>
      </w:r>
      <w:r w:rsidR="008D2416">
        <w:t xml:space="preserve">” column to select one or more options from the list, then click apply. </w:t>
      </w:r>
    </w:p>
    <w:p w14:paraId="0FF75766" w14:textId="77777777" w:rsidR="002D4B63" w:rsidRDefault="00FC29D9" w:rsidP="00912012">
      <w:pPr>
        <w:pStyle w:val="ListParagraph"/>
        <w:numPr>
          <w:ilvl w:val="0"/>
          <w:numId w:val="3"/>
        </w:numPr>
      </w:pPr>
      <w:r w:rsidRPr="00FC29D9">
        <w:t xml:space="preserve">The </w:t>
      </w:r>
      <w:r w:rsidRPr="00912012">
        <w:rPr>
          <w:b/>
        </w:rPr>
        <w:t>advanced filters</w:t>
      </w:r>
      <w:r>
        <w:t xml:space="preserve"> option sits above the </w:t>
      </w:r>
      <w:r w:rsidR="009A5A0E">
        <w:t>Accreditation Module</w:t>
      </w:r>
      <w:r>
        <w:t xml:space="preserve"> </w:t>
      </w:r>
      <w:r w:rsidR="00912012">
        <w:t xml:space="preserve">tabs </w:t>
      </w:r>
      <w:r>
        <w:t xml:space="preserve">and can be used to apply a range of filters to enable different views or ad-hoc reports based on data within the details forms of the </w:t>
      </w:r>
      <w:r w:rsidR="008527A3">
        <w:t>Standard</w:t>
      </w:r>
      <w:r w:rsidR="00912012">
        <w:t xml:space="preserve"> requirements</w:t>
      </w:r>
      <w:r>
        <w:t xml:space="preserve">. </w:t>
      </w:r>
      <w:r w:rsidR="008D2416">
        <w:t>E.g. Click on the word “Advanced filters” to display the advanced filter options. Use the drop-down menus to select one or more filters then click apply.</w:t>
      </w:r>
    </w:p>
    <w:p w14:paraId="1EE09F53" w14:textId="77777777" w:rsidR="00912012" w:rsidRDefault="00912012" w:rsidP="00236D17">
      <w:pPr>
        <w:ind w:left="360"/>
      </w:pPr>
      <w:r>
        <w:rPr>
          <w:noProof/>
        </w:rPr>
        <w:drawing>
          <wp:inline distT="0" distB="0" distL="0" distR="0" wp14:anchorId="70D79330" wp14:editId="19368011">
            <wp:extent cx="6254750" cy="1602832"/>
            <wp:effectExtent l="19050" t="19050" r="12700" b="165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54750" cy="1602832"/>
                    </a:xfrm>
                    <a:prstGeom prst="rect">
                      <a:avLst/>
                    </a:prstGeom>
                    <a:ln>
                      <a:solidFill>
                        <a:schemeClr val="bg1">
                          <a:lumMod val="75000"/>
                        </a:schemeClr>
                      </a:solidFill>
                    </a:ln>
                  </pic:spPr>
                </pic:pic>
              </a:graphicData>
            </a:graphic>
          </wp:inline>
        </w:drawing>
      </w:r>
    </w:p>
    <w:p w14:paraId="2A4D00A1" w14:textId="77777777" w:rsidR="002D4B63" w:rsidRPr="002D4B63" w:rsidRDefault="002D4B63" w:rsidP="00964B3B">
      <w:pPr>
        <w:pStyle w:val="Heading2"/>
        <w:numPr>
          <w:ilvl w:val="0"/>
          <w:numId w:val="2"/>
        </w:numPr>
      </w:pPr>
      <w:bookmarkStart w:id="14" w:name="_Toc7006433"/>
      <w:r w:rsidRPr="002D4B63">
        <w:lastRenderedPageBreak/>
        <w:t xml:space="preserve">How to complete the </w:t>
      </w:r>
      <w:r w:rsidR="00912012">
        <w:t>Accreditation</w:t>
      </w:r>
      <w:r w:rsidR="00A314B3">
        <w:t xml:space="preserve"> Details Form</w:t>
      </w:r>
      <w:bookmarkEnd w:id="14"/>
    </w:p>
    <w:p w14:paraId="671DF348" w14:textId="77777777" w:rsidR="00F42D78" w:rsidRDefault="00B83071" w:rsidP="00AD3541">
      <w:pPr>
        <w:pStyle w:val="ListParagraph"/>
        <w:ind w:left="360"/>
      </w:pPr>
      <w:r>
        <w:t xml:space="preserve">To assist organisations with the build of their </w:t>
      </w:r>
      <w:r w:rsidR="00912012">
        <w:t>Accreditation</w:t>
      </w:r>
      <w:r>
        <w:t xml:space="preserve"> Module, </w:t>
      </w:r>
      <w:r w:rsidR="00236D17">
        <w:t xml:space="preserve">LOGIQC </w:t>
      </w:r>
      <w:r w:rsidR="00912012">
        <w:t xml:space="preserve">will </w:t>
      </w:r>
      <w:r w:rsidR="00AD3541">
        <w:t xml:space="preserve">pre-populate the </w:t>
      </w:r>
      <w:r w:rsidR="00063BC4">
        <w:t>Accreditation Details Form</w:t>
      </w:r>
      <w:r w:rsidR="00AD3541">
        <w:t xml:space="preserve">s with content based on the </w:t>
      </w:r>
      <w:r w:rsidR="008527A3">
        <w:t>Standard</w:t>
      </w:r>
      <w:r w:rsidR="00AD3541">
        <w:t xml:space="preserve">s you purchase. You will still need to refer to your copy of the specific </w:t>
      </w:r>
      <w:r w:rsidR="008527A3">
        <w:t>Standard</w:t>
      </w:r>
      <w:r w:rsidR="00AD3541">
        <w:t xml:space="preserve">s for full details of the </w:t>
      </w:r>
      <w:r w:rsidR="008527A3">
        <w:t>Standard</w:t>
      </w:r>
      <w:r w:rsidR="00AD3541">
        <w:t xml:space="preserve"> requirements, appendices and any other information provided as part of the </w:t>
      </w:r>
      <w:r w:rsidR="008527A3">
        <w:t>Standard</w:t>
      </w:r>
      <w:r w:rsidR="00AD3541">
        <w:t xml:space="preserve"> requirements. </w:t>
      </w:r>
    </w:p>
    <w:p w14:paraId="030B0659" w14:textId="77777777" w:rsidR="00236D17" w:rsidRDefault="00236D17" w:rsidP="00236D17">
      <w:pPr>
        <w:pStyle w:val="ListParagraph"/>
        <w:ind w:left="360"/>
      </w:pPr>
      <w:r w:rsidRPr="004D2527">
        <w:t>Th</w:t>
      </w:r>
      <w:r>
        <w:t xml:space="preserve">e content provided in these drafted details forms </w:t>
      </w:r>
      <w:r w:rsidRPr="004D2527">
        <w:t xml:space="preserve">can be modified to suit your organisations </w:t>
      </w:r>
      <w:r>
        <w:t xml:space="preserve">specific operating </w:t>
      </w:r>
      <w:r w:rsidRPr="004D2527">
        <w:t xml:space="preserve">environment. </w:t>
      </w:r>
    </w:p>
    <w:p w14:paraId="58FF3B1A" w14:textId="77777777" w:rsidR="00236D17" w:rsidRDefault="00236D17" w:rsidP="00236D17">
      <w:pPr>
        <w:pStyle w:val="ListParagraph"/>
        <w:ind w:left="360"/>
      </w:pPr>
    </w:p>
    <w:p w14:paraId="528B4C2F" w14:textId="77777777" w:rsidR="00236D17" w:rsidRDefault="005F35A3" w:rsidP="00964B3B">
      <w:pPr>
        <w:pStyle w:val="ListParagraph"/>
        <w:numPr>
          <w:ilvl w:val="1"/>
          <w:numId w:val="2"/>
        </w:numPr>
        <w:rPr>
          <w:b/>
        </w:rPr>
      </w:pPr>
      <w:r>
        <w:rPr>
          <w:b/>
        </w:rPr>
        <w:t>Opening the ‘</w:t>
      </w:r>
      <w:r w:rsidR="00063BC4">
        <w:rPr>
          <w:b/>
        </w:rPr>
        <w:t>Accreditation Details Form</w:t>
      </w:r>
      <w:r>
        <w:rPr>
          <w:b/>
        </w:rPr>
        <w:t>’.</w:t>
      </w:r>
    </w:p>
    <w:p w14:paraId="44F67B98" w14:textId="77777777" w:rsidR="002677C8" w:rsidRPr="007C1AFE" w:rsidRDefault="002677C8" w:rsidP="002677C8">
      <w:pPr>
        <w:pStyle w:val="ListParagraph"/>
        <w:numPr>
          <w:ilvl w:val="0"/>
          <w:numId w:val="11"/>
        </w:numPr>
        <w:spacing w:after="0" w:line="320" w:lineRule="exact"/>
        <w:contextualSpacing w:val="0"/>
      </w:pPr>
      <w:r w:rsidRPr="007C1AFE">
        <w:t xml:space="preserve">Click on </w:t>
      </w:r>
      <w:r>
        <w:rPr>
          <w:b/>
        </w:rPr>
        <w:t xml:space="preserve">registers </w:t>
      </w:r>
      <w:r>
        <w:t xml:space="preserve">and select </w:t>
      </w:r>
      <w:r>
        <w:rPr>
          <w:b/>
        </w:rPr>
        <w:t>accreditation</w:t>
      </w:r>
    </w:p>
    <w:p w14:paraId="3EF04BDD" w14:textId="77777777" w:rsidR="002677C8" w:rsidRPr="007C1AFE" w:rsidRDefault="002677C8" w:rsidP="002677C8">
      <w:pPr>
        <w:pStyle w:val="ListParagraph"/>
        <w:numPr>
          <w:ilvl w:val="0"/>
          <w:numId w:val="11"/>
        </w:numPr>
        <w:spacing w:after="0" w:line="320" w:lineRule="exact"/>
        <w:contextualSpacing w:val="0"/>
      </w:pPr>
      <w:r w:rsidRPr="007C1AFE">
        <w:t xml:space="preserve">Click </w:t>
      </w:r>
      <w:r>
        <w:rPr>
          <w:b/>
        </w:rPr>
        <w:t>on the draft tab</w:t>
      </w:r>
    </w:p>
    <w:p w14:paraId="239B285E" w14:textId="77777777" w:rsidR="002677C8" w:rsidRDefault="002677C8" w:rsidP="002677C8">
      <w:pPr>
        <w:pStyle w:val="ListParagraph"/>
        <w:numPr>
          <w:ilvl w:val="0"/>
          <w:numId w:val="11"/>
        </w:numPr>
        <w:spacing w:after="0" w:line="320" w:lineRule="exact"/>
        <w:contextualSpacing w:val="0"/>
        <w:rPr>
          <w:b/>
        </w:rPr>
      </w:pPr>
      <w:r>
        <w:t xml:space="preserve">Click on the title of one of the </w:t>
      </w:r>
      <w:r w:rsidR="008527A3">
        <w:t>Standard</w:t>
      </w:r>
      <w:r>
        <w:t xml:space="preserve"> requirement </w:t>
      </w:r>
      <w:r>
        <w:rPr>
          <w:b/>
        </w:rPr>
        <w:t xml:space="preserve">draft </w:t>
      </w:r>
      <w:r w:rsidRPr="00501E2A">
        <w:rPr>
          <w:b/>
        </w:rPr>
        <w:t>details form</w:t>
      </w:r>
    </w:p>
    <w:p w14:paraId="126851C7" w14:textId="77777777" w:rsidR="002677C8" w:rsidRPr="00470817" w:rsidRDefault="002677C8" w:rsidP="002677C8">
      <w:pPr>
        <w:pStyle w:val="ListParagraph"/>
        <w:numPr>
          <w:ilvl w:val="0"/>
          <w:numId w:val="11"/>
        </w:numPr>
        <w:spacing w:after="0" w:line="320" w:lineRule="exact"/>
        <w:contextualSpacing w:val="0"/>
        <w:rPr>
          <w:b/>
        </w:rPr>
      </w:pPr>
      <w:r w:rsidRPr="00470817">
        <w:t>Complete the form</w:t>
      </w:r>
      <w:r w:rsidR="00AD3541">
        <w:t xml:space="preserve"> as follows:</w:t>
      </w:r>
    </w:p>
    <w:tbl>
      <w:tblPr>
        <w:tblStyle w:val="TableGrid"/>
        <w:tblW w:w="9864" w:type="dxa"/>
        <w:tblInd w:w="25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CellMar>
          <w:top w:w="57" w:type="dxa"/>
          <w:bottom w:w="57" w:type="dxa"/>
        </w:tblCellMar>
        <w:tblLook w:val="04A0" w:firstRow="1" w:lastRow="0" w:firstColumn="1" w:lastColumn="0" w:noHBand="0" w:noVBand="1"/>
      </w:tblPr>
      <w:tblGrid>
        <w:gridCol w:w="5102"/>
        <w:gridCol w:w="4762"/>
      </w:tblGrid>
      <w:tr w:rsidR="002677C8" w:rsidRPr="00825196" w14:paraId="2F6D8C05" w14:textId="77777777" w:rsidTr="00560359">
        <w:trPr>
          <w:trHeight w:val="618"/>
        </w:trPr>
        <w:tc>
          <w:tcPr>
            <w:tcW w:w="5102" w:type="dxa"/>
          </w:tcPr>
          <w:p w14:paraId="4715F88A" w14:textId="77777777" w:rsidR="002677C8" w:rsidRPr="00D55D95" w:rsidRDefault="002677C8" w:rsidP="00560359">
            <w:pPr>
              <w:pStyle w:val="Tablebody"/>
            </w:pPr>
            <w:r>
              <w:rPr>
                <w:noProof/>
              </w:rPr>
              <w:drawing>
                <wp:inline distT="0" distB="0" distL="0" distR="0" wp14:anchorId="5ADBC7BE" wp14:editId="3C8AAD60">
                  <wp:extent cx="2898321" cy="2499802"/>
                  <wp:effectExtent l="19050" t="19050" r="16510" b="152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bwMode="auto">
                          <a:xfrm>
                            <a:off x="0" y="0"/>
                            <a:ext cx="2898321" cy="2499802"/>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tc>
        <w:tc>
          <w:tcPr>
            <w:tcW w:w="4762" w:type="dxa"/>
            <w:shd w:val="clear" w:color="auto" w:fill="EAEAEA"/>
          </w:tcPr>
          <w:p w14:paraId="30EC9748" w14:textId="77777777" w:rsidR="00AD3541" w:rsidRDefault="002677C8" w:rsidP="00560359">
            <w:pPr>
              <w:pStyle w:val="Tablebody"/>
            </w:pPr>
            <w:r>
              <w:t xml:space="preserve">The details of the </w:t>
            </w:r>
            <w:r w:rsidR="00E13871">
              <w:t>S</w:t>
            </w:r>
            <w:r>
              <w:t xml:space="preserve">tandard will </w:t>
            </w:r>
            <w:r w:rsidR="006303B9">
              <w:t xml:space="preserve">be pre-populated in the </w:t>
            </w:r>
            <w:r w:rsidR="00063BC4">
              <w:t>Accreditation Details Form</w:t>
            </w:r>
            <w:r w:rsidR="006303B9">
              <w:t xml:space="preserve">. </w:t>
            </w:r>
            <w:r w:rsidR="00AD3541">
              <w:t xml:space="preserve"> </w:t>
            </w:r>
          </w:p>
          <w:p w14:paraId="7F747421" w14:textId="77777777" w:rsidR="006303B9" w:rsidRDefault="006303B9" w:rsidP="00560359">
            <w:pPr>
              <w:pStyle w:val="Tablebody"/>
            </w:pPr>
          </w:p>
          <w:p w14:paraId="31980110" w14:textId="77777777" w:rsidR="002677C8" w:rsidRPr="00604CD9" w:rsidRDefault="00AD3541" w:rsidP="00560359">
            <w:pPr>
              <w:pStyle w:val="Tablebody"/>
            </w:pPr>
            <w:r w:rsidRPr="00AD3541">
              <w:rPr>
                <w:b/>
              </w:rPr>
              <w:t>Note:</w:t>
            </w:r>
            <w:r>
              <w:t xml:space="preserve"> The titles of these fields will vary to suit the specific </w:t>
            </w:r>
            <w:r w:rsidR="00E13871">
              <w:t>S</w:t>
            </w:r>
            <w:r>
              <w:t xml:space="preserve">tandard you are managing. </w:t>
            </w:r>
          </w:p>
        </w:tc>
      </w:tr>
    </w:tbl>
    <w:p w14:paraId="18A1610E" w14:textId="77777777" w:rsidR="00063BC4" w:rsidRPr="00063BC4" w:rsidRDefault="00063BC4" w:rsidP="00063BC4">
      <w:pPr>
        <w:pStyle w:val="ListParagraph"/>
        <w:ind w:left="792"/>
      </w:pPr>
    </w:p>
    <w:p w14:paraId="02150346" w14:textId="77777777" w:rsidR="004036A4" w:rsidRDefault="004036A4" w:rsidP="004036A4">
      <w:pPr>
        <w:pStyle w:val="ListParagraph"/>
        <w:numPr>
          <w:ilvl w:val="1"/>
          <w:numId w:val="2"/>
        </w:numPr>
      </w:pPr>
      <w:r w:rsidRPr="004036A4">
        <w:rPr>
          <w:b/>
        </w:rPr>
        <w:t xml:space="preserve">Completing the </w:t>
      </w:r>
      <w:r>
        <w:rPr>
          <w:b/>
        </w:rPr>
        <w:t>‘</w:t>
      </w:r>
      <w:r w:rsidR="00E13871">
        <w:rPr>
          <w:b/>
        </w:rPr>
        <w:t>A</w:t>
      </w:r>
      <w:r w:rsidRPr="004036A4">
        <w:rPr>
          <w:b/>
        </w:rPr>
        <w:t>ssessment details form</w:t>
      </w:r>
      <w:r>
        <w:rPr>
          <w:b/>
        </w:rPr>
        <w:t>’</w:t>
      </w:r>
      <w:r w:rsidRPr="004036A4">
        <w:rPr>
          <w:b/>
        </w:rPr>
        <w:t xml:space="preserve"> within the </w:t>
      </w:r>
      <w:r w:rsidR="00063BC4">
        <w:rPr>
          <w:b/>
        </w:rPr>
        <w:t>Accreditation Details Form</w:t>
      </w:r>
      <w:r w:rsidRPr="004036A4">
        <w:rPr>
          <w:b/>
        </w:rPr>
        <w:t xml:space="preserve">. </w:t>
      </w:r>
    </w:p>
    <w:tbl>
      <w:tblPr>
        <w:tblStyle w:val="TableGrid"/>
        <w:tblW w:w="9864" w:type="dxa"/>
        <w:tblInd w:w="25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CellMar>
          <w:top w:w="57" w:type="dxa"/>
          <w:bottom w:w="57" w:type="dxa"/>
        </w:tblCellMar>
        <w:tblLook w:val="04A0" w:firstRow="1" w:lastRow="0" w:firstColumn="1" w:lastColumn="0" w:noHBand="0" w:noVBand="1"/>
      </w:tblPr>
      <w:tblGrid>
        <w:gridCol w:w="5102"/>
        <w:gridCol w:w="4762"/>
      </w:tblGrid>
      <w:tr w:rsidR="00AD3541" w:rsidRPr="00825196" w14:paraId="5CB4B162" w14:textId="77777777" w:rsidTr="00560359">
        <w:trPr>
          <w:trHeight w:val="618"/>
        </w:trPr>
        <w:tc>
          <w:tcPr>
            <w:tcW w:w="5102" w:type="dxa"/>
          </w:tcPr>
          <w:p w14:paraId="7B2B35D8" w14:textId="77777777" w:rsidR="00AD3541" w:rsidRDefault="00AD3541" w:rsidP="00560359">
            <w:pPr>
              <w:pStyle w:val="Tablebody"/>
              <w:rPr>
                <w:noProof/>
              </w:rPr>
            </w:pPr>
            <w:r>
              <w:rPr>
                <w:noProof/>
              </w:rPr>
              <w:drawing>
                <wp:inline distT="0" distB="0" distL="0" distR="0" wp14:anchorId="2F29FE30" wp14:editId="790947C2">
                  <wp:extent cx="2878763" cy="1091821"/>
                  <wp:effectExtent l="19050" t="19050" r="17145" b="133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40587"/>
                          <a:stretch/>
                        </pic:blipFill>
                        <pic:spPr bwMode="auto">
                          <a:xfrm>
                            <a:off x="0" y="0"/>
                            <a:ext cx="2906966" cy="1102518"/>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762" w:type="dxa"/>
            <w:shd w:val="clear" w:color="auto" w:fill="EAEAEA"/>
          </w:tcPr>
          <w:p w14:paraId="43BDA020" w14:textId="77777777" w:rsidR="00AD3541" w:rsidRDefault="00AD3541" w:rsidP="00560359">
            <w:pPr>
              <w:pStyle w:val="Tablebody"/>
            </w:pPr>
            <w:r>
              <w:t xml:space="preserve">The specific assessment requirements for the </w:t>
            </w:r>
            <w:r w:rsidR="008527A3">
              <w:t>Standard</w:t>
            </w:r>
            <w:r>
              <w:t xml:space="preserve"> will be displayed below with a reference ID and description. In some cases, the “How the requirements are met” field will be prepopulated based on an example of </w:t>
            </w:r>
            <w:r w:rsidR="00E13871">
              <w:t>how to meet this</w:t>
            </w:r>
            <w:r>
              <w:t xml:space="preserve"> requirement. This field is </w:t>
            </w:r>
            <w:r w:rsidR="004036A4">
              <w:t>editable,</w:t>
            </w:r>
            <w:r>
              <w:t xml:space="preserve"> and </w:t>
            </w:r>
            <w:r w:rsidR="00E13871">
              <w:t xml:space="preserve">the information we have provided is an example only. You will need to </w:t>
            </w:r>
            <w:r>
              <w:t xml:space="preserve">modify </w:t>
            </w:r>
            <w:r w:rsidR="00E13871">
              <w:t xml:space="preserve">this information in order to reflect the specific ways in which your </w:t>
            </w:r>
            <w:r>
              <w:t>organisation</w:t>
            </w:r>
            <w:r w:rsidR="00E13871">
              <w:t xml:space="preserve"> meets these </w:t>
            </w:r>
            <w:r>
              <w:t xml:space="preserve">requirements. </w:t>
            </w:r>
          </w:p>
        </w:tc>
      </w:tr>
      <w:tr w:rsidR="00AD3541" w:rsidRPr="00825196" w14:paraId="2D5AEEF6" w14:textId="77777777" w:rsidTr="00560359">
        <w:trPr>
          <w:trHeight w:val="618"/>
        </w:trPr>
        <w:tc>
          <w:tcPr>
            <w:tcW w:w="5102" w:type="dxa"/>
          </w:tcPr>
          <w:p w14:paraId="1B05DA90" w14:textId="77777777" w:rsidR="00AD3541" w:rsidRDefault="00AD3541" w:rsidP="00560359">
            <w:pPr>
              <w:pStyle w:val="Tablebody"/>
              <w:rPr>
                <w:noProof/>
              </w:rPr>
            </w:pPr>
            <w:r>
              <w:rPr>
                <w:noProof/>
              </w:rPr>
              <w:drawing>
                <wp:inline distT="0" distB="0" distL="0" distR="0" wp14:anchorId="7412D2E3" wp14:editId="11314095">
                  <wp:extent cx="2898140" cy="1193566"/>
                  <wp:effectExtent l="19050" t="19050" r="16510" b="260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b="49983"/>
                          <a:stretch/>
                        </pic:blipFill>
                        <pic:spPr bwMode="auto">
                          <a:xfrm>
                            <a:off x="0" y="0"/>
                            <a:ext cx="2908310" cy="1197754"/>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762" w:type="dxa"/>
            <w:shd w:val="clear" w:color="auto" w:fill="EAEAEA"/>
          </w:tcPr>
          <w:p w14:paraId="4A9E979C" w14:textId="77777777" w:rsidR="006303B9" w:rsidRDefault="006303B9" w:rsidP="00560359">
            <w:pPr>
              <w:pStyle w:val="Tablebody"/>
            </w:pPr>
            <w:r>
              <w:t xml:space="preserve">To </w:t>
            </w:r>
            <w:r w:rsidR="00E13871">
              <w:t xml:space="preserve">complete the Assessment details form, click the </w:t>
            </w:r>
            <w:r>
              <w:t xml:space="preserve">“Edit” button on the right-hand side of assessment item. </w:t>
            </w:r>
          </w:p>
          <w:p w14:paraId="412B1895" w14:textId="77777777" w:rsidR="006303B9" w:rsidRDefault="006303B9" w:rsidP="00560359">
            <w:pPr>
              <w:pStyle w:val="Tablebody"/>
            </w:pPr>
            <w:r>
              <w:t xml:space="preserve">This will open the specific “Assessment details form”. </w:t>
            </w:r>
          </w:p>
        </w:tc>
      </w:tr>
      <w:tr w:rsidR="006303B9" w:rsidRPr="00825196" w14:paraId="51E45872" w14:textId="77777777" w:rsidTr="00560359">
        <w:trPr>
          <w:trHeight w:val="618"/>
        </w:trPr>
        <w:tc>
          <w:tcPr>
            <w:tcW w:w="5102" w:type="dxa"/>
          </w:tcPr>
          <w:p w14:paraId="148E1D40" w14:textId="77777777" w:rsidR="006303B9" w:rsidRDefault="006303B9" w:rsidP="006303B9">
            <w:pPr>
              <w:pStyle w:val="Tablebody"/>
              <w:rPr>
                <w:noProof/>
              </w:rPr>
            </w:pPr>
            <w:r>
              <w:rPr>
                <w:noProof/>
              </w:rPr>
              <w:lastRenderedPageBreak/>
              <w:drawing>
                <wp:inline distT="0" distB="0" distL="0" distR="0" wp14:anchorId="2987602F" wp14:editId="4981AC90">
                  <wp:extent cx="2878455" cy="857302"/>
                  <wp:effectExtent l="19050" t="19050" r="17145" b="190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99442" cy="863553"/>
                          </a:xfrm>
                          <a:prstGeom prst="rect">
                            <a:avLst/>
                          </a:prstGeom>
                          <a:ln>
                            <a:solidFill>
                              <a:schemeClr val="bg1">
                                <a:lumMod val="75000"/>
                              </a:schemeClr>
                            </a:solidFill>
                          </a:ln>
                        </pic:spPr>
                      </pic:pic>
                    </a:graphicData>
                  </a:graphic>
                </wp:inline>
              </w:drawing>
            </w:r>
          </w:p>
        </w:tc>
        <w:tc>
          <w:tcPr>
            <w:tcW w:w="4762" w:type="dxa"/>
            <w:shd w:val="clear" w:color="auto" w:fill="EAEAEA"/>
          </w:tcPr>
          <w:p w14:paraId="2B04D779" w14:textId="77777777" w:rsidR="006303B9" w:rsidRDefault="006303B9" w:rsidP="006303B9">
            <w:pPr>
              <w:pStyle w:val="Tablebody"/>
            </w:pPr>
            <w:r>
              <w:t xml:space="preserve">The </w:t>
            </w:r>
            <w:r w:rsidR="00E13871">
              <w:t>relevant details of the Standards</w:t>
            </w:r>
            <w:r>
              <w:t xml:space="preserve"> will be pre-populated in the </w:t>
            </w:r>
            <w:r w:rsidR="00E13871">
              <w:t>A</w:t>
            </w:r>
            <w:r>
              <w:t xml:space="preserve">ssessment details form.  </w:t>
            </w:r>
          </w:p>
          <w:p w14:paraId="73CB11C6" w14:textId="77777777" w:rsidR="006303B9" w:rsidRDefault="006303B9" w:rsidP="006303B9">
            <w:pPr>
              <w:pStyle w:val="Tablebody"/>
            </w:pPr>
          </w:p>
          <w:p w14:paraId="5075CA72" w14:textId="77777777" w:rsidR="006303B9" w:rsidRPr="00604CD9" w:rsidRDefault="006303B9" w:rsidP="006303B9">
            <w:pPr>
              <w:pStyle w:val="Tablebody"/>
            </w:pPr>
            <w:r w:rsidRPr="00AD3541">
              <w:rPr>
                <w:b/>
              </w:rPr>
              <w:t>Note:</w:t>
            </w:r>
            <w:r>
              <w:t xml:space="preserve"> The titles of these fields will vary to suit the specific </w:t>
            </w:r>
            <w:r w:rsidR="008527A3">
              <w:t>Standard</w:t>
            </w:r>
            <w:r>
              <w:t xml:space="preserve"> you are managing. </w:t>
            </w:r>
          </w:p>
        </w:tc>
      </w:tr>
      <w:tr w:rsidR="006303B9" w:rsidRPr="00825196" w14:paraId="104EAD57" w14:textId="77777777" w:rsidTr="00560359">
        <w:trPr>
          <w:trHeight w:val="1221"/>
        </w:trPr>
        <w:tc>
          <w:tcPr>
            <w:tcW w:w="5102" w:type="dxa"/>
          </w:tcPr>
          <w:p w14:paraId="4021EFDF" w14:textId="77777777" w:rsidR="006303B9" w:rsidRPr="00D55D95" w:rsidRDefault="006303B9" w:rsidP="006303B9">
            <w:pPr>
              <w:pStyle w:val="Tablebody"/>
            </w:pPr>
            <w:r>
              <w:rPr>
                <w:noProof/>
              </w:rPr>
              <w:drawing>
                <wp:inline distT="0" distB="0" distL="0" distR="0" wp14:anchorId="0EC5E0B7" wp14:editId="584A7C22">
                  <wp:extent cx="2879725" cy="616343"/>
                  <wp:effectExtent l="19050" t="19050" r="15875" b="1270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96584" cy="619951"/>
                          </a:xfrm>
                          <a:prstGeom prst="rect">
                            <a:avLst/>
                          </a:prstGeom>
                          <a:ln>
                            <a:solidFill>
                              <a:schemeClr val="bg1">
                                <a:lumMod val="75000"/>
                              </a:schemeClr>
                            </a:solidFill>
                          </a:ln>
                        </pic:spPr>
                      </pic:pic>
                    </a:graphicData>
                  </a:graphic>
                </wp:inline>
              </w:drawing>
            </w:r>
          </w:p>
        </w:tc>
        <w:tc>
          <w:tcPr>
            <w:tcW w:w="4762" w:type="dxa"/>
            <w:shd w:val="clear" w:color="auto" w:fill="EAEAEA"/>
          </w:tcPr>
          <w:p w14:paraId="70FC0B69" w14:textId="77777777" w:rsidR="006303B9" w:rsidRPr="004036A4" w:rsidRDefault="006303B9" w:rsidP="006303B9">
            <w:pPr>
              <w:pStyle w:val="Tablebody"/>
              <w:rPr>
                <w:color w:val="000000" w:themeColor="text1"/>
              </w:rPr>
            </w:pPr>
            <w:r>
              <w:t xml:space="preserve">In ‘How the requirements are met’ field you </w:t>
            </w:r>
            <w:r w:rsidR="00E13871">
              <w:t>need to</w:t>
            </w:r>
            <w:r>
              <w:t xml:space="preserve"> d</w:t>
            </w:r>
            <w:r w:rsidRPr="008C2A80">
              <w:t xml:space="preserve">escribe how </w:t>
            </w:r>
            <w:r w:rsidR="004036A4">
              <w:t>your organisation</w:t>
            </w:r>
            <w:r w:rsidRPr="00A4798F">
              <w:rPr>
                <w:color w:val="000000" w:themeColor="text1"/>
              </w:rPr>
              <w:t xml:space="preserve"> meets the requirements of </w:t>
            </w:r>
            <w:r w:rsidR="00E13871">
              <w:rPr>
                <w:color w:val="000000" w:themeColor="text1"/>
              </w:rPr>
              <w:t>t</w:t>
            </w:r>
            <w:r w:rsidR="004036A4">
              <w:rPr>
                <w:color w:val="000000" w:themeColor="text1"/>
              </w:rPr>
              <w:t xml:space="preserve">his assessment item. </w:t>
            </w:r>
            <w:r w:rsidRPr="00A4798F">
              <w:rPr>
                <w:color w:val="000000" w:themeColor="text1"/>
              </w:rPr>
              <w:t xml:space="preserve"> This field </w:t>
            </w:r>
            <w:r w:rsidR="004036A4">
              <w:rPr>
                <w:color w:val="000000" w:themeColor="text1"/>
              </w:rPr>
              <w:t xml:space="preserve">may </w:t>
            </w:r>
            <w:r w:rsidRPr="00A4798F">
              <w:rPr>
                <w:color w:val="000000" w:themeColor="text1"/>
              </w:rPr>
              <w:t>be pre-populated with an example of how the requirements could be met</w:t>
            </w:r>
            <w:r w:rsidR="00E13871">
              <w:rPr>
                <w:color w:val="000000" w:themeColor="text1"/>
              </w:rPr>
              <w:t>. This information is an example only</w:t>
            </w:r>
            <w:r w:rsidR="00C24D51">
              <w:rPr>
                <w:color w:val="000000" w:themeColor="text1"/>
              </w:rPr>
              <w:t xml:space="preserve"> </w:t>
            </w:r>
            <w:r w:rsidR="00E13871">
              <w:rPr>
                <w:color w:val="000000" w:themeColor="text1"/>
              </w:rPr>
              <w:t xml:space="preserve">and needs to be modified to reflect how your organisation specifically meets the Standards. </w:t>
            </w:r>
            <w:r w:rsidR="004036A4">
              <w:rPr>
                <w:color w:val="000000" w:themeColor="text1"/>
              </w:rPr>
              <w:t xml:space="preserve"> </w:t>
            </w:r>
          </w:p>
        </w:tc>
      </w:tr>
      <w:tr w:rsidR="004036A4" w:rsidRPr="00825196" w14:paraId="1542B217" w14:textId="77777777" w:rsidTr="00560359">
        <w:trPr>
          <w:trHeight w:val="1221"/>
        </w:trPr>
        <w:tc>
          <w:tcPr>
            <w:tcW w:w="5102" w:type="dxa"/>
          </w:tcPr>
          <w:p w14:paraId="355C8F30" w14:textId="77777777" w:rsidR="004036A4" w:rsidRDefault="004036A4" w:rsidP="006303B9">
            <w:pPr>
              <w:pStyle w:val="Tablebody"/>
              <w:rPr>
                <w:noProof/>
              </w:rPr>
            </w:pPr>
            <w:r>
              <w:rPr>
                <w:noProof/>
              </w:rPr>
              <w:drawing>
                <wp:inline distT="0" distB="0" distL="0" distR="0" wp14:anchorId="3C891246" wp14:editId="718ECCD0">
                  <wp:extent cx="2889929" cy="1195474"/>
                  <wp:effectExtent l="19050" t="19050" r="24765" b="2413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889929" cy="1195474"/>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tc>
        <w:tc>
          <w:tcPr>
            <w:tcW w:w="4762" w:type="dxa"/>
            <w:shd w:val="clear" w:color="auto" w:fill="EAEAEA"/>
          </w:tcPr>
          <w:p w14:paraId="3AEE0133" w14:textId="77777777" w:rsidR="00C24D51" w:rsidRDefault="004036A4" w:rsidP="004036A4">
            <w:pPr>
              <w:pStyle w:val="Tablebody"/>
            </w:pPr>
            <w:r>
              <w:t>Items in</w:t>
            </w:r>
            <w:r w:rsidR="00C24D51">
              <w:t xml:space="preserve"> the</w:t>
            </w:r>
            <w:r>
              <w:t xml:space="preserve"> other LOGIQC registers </w:t>
            </w:r>
            <w:r w:rsidR="00C24D51">
              <w:t>that have been</w:t>
            </w:r>
            <w:r>
              <w:t xml:space="preserve"> activated in your system can be linked to the </w:t>
            </w:r>
            <w:r w:rsidR="00C24D51">
              <w:t>S</w:t>
            </w:r>
            <w:r>
              <w:t xml:space="preserve">tandard as evidence of compliance with the </w:t>
            </w:r>
            <w:r w:rsidR="00C24D51">
              <w:t>S</w:t>
            </w:r>
            <w:r>
              <w:t xml:space="preserve">tandard. </w:t>
            </w:r>
          </w:p>
          <w:p w14:paraId="57B0D66C" w14:textId="77777777" w:rsidR="00C24D51" w:rsidRDefault="00C24D51" w:rsidP="004036A4">
            <w:pPr>
              <w:pStyle w:val="Tablebody"/>
            </w:pPr>
          </w:p>
          <w:p w14:paraId="361EBF5B" w14:textId="77777777" w:rsidR="00C24D51" w:rsidRDefault="004036A4" w:rsidP="004036A4">
            <w:pPr>
              <w:pStyle w:val="Tablebody"/>
            </w:pPr>
            <w:r>
              <w:t xml:space="preserve">Click into each field and LOGIQC will list </w:t>
            </w:r>
            <w:r w:rsidR="00C24D51">
              <w:t xml:space="preserve">the </w:t>
            </w:r>
            <w:r>
              <w:t>items from the</w:t>
            </w:r>
            <w:r w:rsidR="00C24D51">
              <w:t xml:space="preserve"> respective</w:t>
            </w:r>
            <w:r>
              <w:t xml:space="preserve"> register.</w:t>
            </w:r>
            <w:r w:rsidR="00C24D51">
              <w:t xml:space="preserve"> For example, when you click on the field titled “Documents”, you will be provided with a list of all approved documents on the Document Register. </w:t>
            </w:r>
          </w:p>
          <w:p w14:paraId="549FE2E5" w14:textId="77777777" w:rsidR="00C24D51" w:rsidRDefault="00C24D51" w:rsidP="004036A4">
            <w:pPr>
              <w:pStyle w:val="Tablebody"/>
            </w:pPr>
          </w:p>
          <w:p w14:paraId="14D0470E" w14:textId="77777777" w:rsidR="004036A4" w:rsidRDefault="00C24D51" w:rsidP="006303B9">
            <w:pPr>
              <w:pStyle w:val="Tablebody"/>
            </w:pPr>
            <w:r>
              <w:t xml:space="preserve">To select the evidence, you want to link to the </w:t>
            </w:r>
            <w:r w:rsidR="008527A3">
              <w:t>Standard</w:t>
            </w:r>
            <w:r>
              <w:t xml:space="preserve">, </w:t>
            </w:r>
            <w:r w:rsidR="004036A4">
              <w:t xml:space="preserve">simply click the </w:t>
            </w:r>
            <w:r>
              <w:t xml:space="preserve">item and it will be added as a link. </w:t>
            </w:r>
            <w:r w:rsidR="004036A4">
              <w:t xml:space="preserve"> </w:t>
            </w:r>
          </w:p>
        </w:tc>
      </w:tr>
      <w:tr w:rsidR="006303B9" w:rsidRPr="00825196" w14:paraId="02199932" w14:textId="77777777" w:rsidTr="00560359">
        <w:tc>
          <w:tcPr>
            <w:tcW w:w="5102" w:type="dxa"/>
          </w:tcPr>
          <w:p w14:paraId="3AB6D334" w14:textId="77777777" w:rsidR="006303B9" w:rsidRPr="00D55D95" w:rsidRDefault="004036A4" w:rsidP="006303B9">
            <w:pPr>
              <w:pStyle w:val="Tablebody"/>
            </w:pPr>
            <w:r>
              <w:rPr>
                <w:noProof/>
              </w:rPr>
              <w:drawing>
                <wp:inline distT="0" distB="0" distL="0" distR="0" wp14:anchorId="0E54290C" wp14:editId="4DB770F9">
                  <wp:extent cx="2879725" cy="297196"/>
                  <wp:effectExtent l="19050" t="19050" r="15875" b="266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930947" cy="302482"/>
                          </a:xfrm>
                          <a:prstGeom prst="rect">
                            <a:avLst/>
                          </a:prstGeom>
                          <a:ln>
                            <a:solidFill>
                              <a:schemeClr val="bg1">
                                <a:lumMod val="75000"/>
                              </a:schemeClr>
                            </a:solidFill>
                          </a:ln>
                        </pic:spPr>
                      </pic:pic>
                    </a:graphicData>
                  </a:graphic>
                </wp:inline>
              </w:drawing>
            </w:r>
          </w:p>
        </w:tc>
        <w:tc>
          <w:tcPr>
            <w:tcW w:w="4762" w:type="dxa"/>
            <w:shd w:val="clear" w:color="auto" w:fill="EAEAEA"/>
          </w:tcPr>
          <w:p w14:paraId="12D14A3C" w14:textId="77777777" w:rsidR="006303B9" w:rsidRPr="00604CD9" w:rsidRDefault="006303B9" w:rsidP="006303B9">
            <w:pPr>
              <w:pStyle w:val="Tablebody"/>
              <w:rPr>
                <w:color w:val="FF0000"/>
              </w:rPr>
            </w:pPr>
            <w:r w:rsidRPr="008C2A80">
              <w:t xml:space="preserve">Assess </w:t>
            </w:r>
            <w:r w:rsidR="00C24D51">
              <w:t xml:space="preserve">the extent your organisation complies </w:t>
            </w:r>
            <w:r>
              <w:t xml:space="preserve">with the </w:t>
            </w:r>
            <w:r w:rsidR="008527A3">
              <w:t>Standard</w:t>
            </w:r>
            <w:r w:rsidR="00C24D51">
              <w:t xml:space="preserve">: </w:t>
            </w:r>
            <w:r w:rsidR="00C24D51" w:rsidRPr="00C24D51">
              <w:rPr>
                <w:b/>
              </w:rPr>
              <w:t>me</w:t>
            </w:r>
            <w:r w:rsidRPr="00C24D51">
              <w:rPr>
                <w:b/>
              </w:rPr>
              <w:t>t</w:t>
            </w:r>
            <w:r>
              <w:t xml:space="preserve">, </w:t>
            </w:r>
            <w:r w:rsidRPr="008B03A5">
              <w:rPr>
                <w:b/>
              </w:rPr>
              <w:t>part met</w:t>
            </w:r>
            <w:r>
              <w:t xml:space="preserve">, </w:t>
            </w:r>
            <w:r w:rsidRPr="008B03A5">
              <w:rPr>
                <w:b/>
              </w:rPr>
              <w:t>not met</w:t>
            </w:r>
            <w:r>
              <w:t xml:space="preserve"> and </w:t>
            </w:r>
            <w:r w:rsidRPr="008B03A5">
              <w:rPr>
                <w:b/>
              </w:rPr>
              <w:t>not applicable</w:t>
            </w:r>
            <w:r>
              <w:rPr>
                <w:b/>
              </w:rPr>
              <w:t>.</w:t>
            </w:r>
          </w:p>
        </w:tc>
      </w:tr>
      <w:tr w:rsidR="004036A4" w:rsidRPr="00825196" w14:paraId="0CC456DB" w14:textId="77777777" w:rsidTr="00560359">
        <w:tc>
          <w:tcPr>
            <w:tcW w:w="5102" w:type="dxa"/>
          </w:tcPr>
          <w:p w14:paraId="2B16CBE3" w14:textId="77777777" w:rsidR="004036A4" w:rsidRDefault="004036A4" w:rsidP="006303B9">
            <w:pPr>
              <w:pStyle w:val="Tablebody"/>
              <w:rPr>
                <w:noProof/>
              </w:rPr>
            </w:pPr>
            <w:r>
              <w:rPr>
                <w:noProof/>
              </w:rPr>
              <w:drawing>
                <wp:inline distT="0" distB="0" distL="0" distR="0" wp14:anchorId="1175E277" wp14:editId="727DB92F">
                  <wp:extent cx="2860524" cy="463181"/>
                  <wp:effectExtent l="19050" t="19050" r="16510" b="1333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907116" cy="470725"/>
                          </a:xfrm>
                          <a:prstGeom prst="rect">
                            <a:avLst/>
                          </a:prstGeom>
                          <a:ln>
                            <a:solidFill>
                              <a:schemeClr val="bg1">
                                <a:lumMod val="75000"/>
                              </a:schemeClr>
                            </a:solidFill>
                          </a:ln>
                        </pic:spPr>
                      </pic:pic>
                    </a:graphicData>
                  </a:graphic>
                </wp:inline>
              </w:drawing>
            </w:r>
          </w:p>
        </w:tc>
        <w:tc>
          <w:tcPr>
            <w:tcW w:w="4762" w:type="dxa"/>
            <w:shd w:val="clear" w:color="auto" w:fill="EAEAEA"/>
          </w:tcPr>
          <w:p w14:paraId="24988A34" w14:textId="77777777" w:rsidR="004036A4" w:rsidRDefault="004036A4" w:rsidP="006303B9">
            <w:pPr>
              <w:pStyle w:val="Tablebody"/>
            </w:pPr>
            <w:r>
              <w:t xml:space="preserve">Depending on the specific requirements of the </w:t>
            </w:r>
            <w:r w:rsidR="008527A3">
              <w:t>Standard</w:t>
            </w:r>
            <w:r>
              <w:t xml:space="preserve"> there may be additional fields to complete. </w:t>
            </w:r>
          </w:p>
          <w:p w14:paraId="0AFAA2FE" w14:textId="77777777" w:rsidR="00C24D51" w:rsidRDefault="00C24D51" w:rsidP="006303B9">
            <w:pPr>
              <w:pStyle w:val="Tablebody"/>
            </w:pPr>
          </w:p>
          <w:p w14:paraId="4C4BA34B" w14:textId="77777777" w:rsidR="004036A4" w:rsidRPr="004036A4" w:rsidRDefault="004036A4" w:rsidP="006303B9">
            <w:pPr>
              <w:pStyle w:val="Tablebody"/>
              <w:rPr>
                <w:b/>
              </w:rPr>
            </w:pPr>
            <w:r w:rsidRPr="004036A4">
              <w:rPr>
                <w:b/>
              </w:rPr>
              <w:t>Note:</w:t>
            </w:r>
            <w:r>
              <w:rPr>
                <w:b/>
              </w:rPr>
              <w:t xml:space="preserve"> </w:t>
            </w:r>
            <w:r w:rsidR="00C24D51">
              <w:t xml:space="preserve">You will be able to filter on these parameters, through the </w:t>
            </w:r>
            <w:r w:rsidRPr="004036A4">
              <w:t>advanced filters</w:t>
            </w:r>
            <w:r w:rsidR="00C24D51">
              <w:t>. For example, you will be able to find all mandatory items.</w:t>
            </w:r>
          </w:p>
        </w:tc>
      </w:tr>
      <w:tr w:rsidR="004036A4" w:rsidRPr="00825196" w14:paraId="590699C1" w14:textId="77777777" w:rsidTr="00560359">
        <w:tc>
          <w:tcPr>
            <w:tcW w:w="5102" w:type="dxa"/>
          </w:tcPr>
          <w:p w14:paraId="6344C488" w14:textId="77777777" w:rsidR="004036A4" w:rsidRDefault="004036A4" w:rsidP="006303B9">
            <w:pPr>
              <w:pStyle w:val="Tablebody"/>
              <w:rPr>
                <w:noProof/>
              </w:rPr>
            </w:pPr>
            <w:r>
              <w:rPr>
                <w:noProof/>
              </w:rPr>
              <w:drawing>
                <wp:inline distT="0" distB="0" distL="0" distR="0" wp14:anchorId="5C3624A0" wp14:editId="24280557">
                  <wp:extent cx="2893491" cy="306595"/>
                  <wp:effectExtent l="19050" t="19050" r="21590" b="177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893491" cy="306595"/>
                          </a:xfrm>
                          <a:prstGeom prst="rect">
                            <a:avLst/>
                          </a:prstGeom>
                          <a:ln>
                            <a:solidFill>
                              <a:schemeClr val="bg1">
                                <a:lumMod val="75000"/>
                              </a:schemeClr>
                            </a:solidFill>
                          </a:ln>
                        </pic:spPr>
                      </pic:pic>
                    </a:graphicData>
                  </a:graphic>
                </wp:inline>
              </w:drawing>
            </w:r>
          </w:p>
        </w:tc>
        <w:tc>
          <w:tcPr>
            <w:tcW w:w="4762" w:type="dxa"/>
            <w:shd w:val="clear" w:color="auto" w:fill="EAEAEA"/>
          </w:tcPr>
          <w:p w14:paraId="60347F5A" w14:textId="77777777" w:rsidR="005F35A3" w:rsidRDefault="005F35A3" w:rsidP="006303B9">
            <w:pPr>
              <w:pStyle w:val="Tablebody"/>
            </w:pPr>
            <w:r>
              <w:t xml:space="preserve">To save the </w:t>
            </w:r>
            <w:r w:rsidR="009A5A0E">
              <w:t>Assessment Details Form</w:t>
            </w:r>
            <w:r>
              <w:t xml:space="preserve">, click ‘Save’. This will take you back to the </w:t>
            </w:r>
            <w:r w:rsidR="00063BC4">
              <w:t>Accreditation Details Form</w:t>
            </w:r>
            <w:r>
              <w:t xml:space="preserve">. </w:t>
            </w:r>
          </w:p>
        </w:tc>
      </w:tr>
    </w:tbl>
    <w:p w14:paraId="6D4556D4" w14:textId="77777777" w:rsidR="005F35A3" w:rsidRDefault="005F35A3" w:rsidP="005F35A3">
      <w:pPr>
        <w:ind w:left="720"/>
        <w:rPr>
          <w:sz w:val="18"/>
        </w:rPr>
      </w:pPr>
      <w:r w:rsidRPr="00911D98">
        <w:rPr>
          <w:b/>
          <w:sz w:val="18"/>
        </w:rPr>
        <w:t>NOTE:</w:t>
      </w:r>
      <w:r w:rsidRPr="00911D98">
        <w:rPr>
          <w:sz w:val="18"/>
        </w:rPr>
        <w:t xml:space="preserve"> Complete each of the </w:t>
      </w:r>
      <w:r w:rsidR="009A5A0E">
        <w:rPr>
          <w:sz w:val="18"/>
        </w:rPr>
        <w:t>Assessment Details Form</w:t>
      </w:r>
      <w:r w:rsidRPr="00911D98">
        <w:rPr>
          <w:sz w:val="18"/>
        </w:rPr>
        <w:t xml:space="preserve">s for the </w:t>
      </w:r>
      <w:r w:rsidR="00C24D51">
        <w:rPr>
          <w:sz w:val="18"/>
        </w:rPr>
        <w:t>S</w:t>
      </w:r>
      <w:r w:rsidRPr="00911D98">
        <w:rPr>
          <w:sz w:val="18"/>
        </w:rPr>
        <w:t>tandard</w:t>
      </w:r>
      <w:r w:rsidR="00C24D51">
        <w:rPr>
          <w:sz w:val="18"/>
        </w:rPr>
        <w:t xml:space="preserve"> a</w:t>
      </w:r>
      <w:r w:rsidR="00063BC4">
        <w:rPr>
          <w:sz w:val="18"/>
        </w:rPr>
        <w:t>nd then complete the Accreditation Details Form</w:t>
      </w:r>
      <w:r w:rsidRPr="00911D98">
        <w:rPr>
          <w:sz w:val="18"/>
        </w:rPr>
        <w:t xml:space="preserve">. </w:t>
      </w:r>
    </w:p>
    <w:p w14:paraId="1820FB6E" w14:textId="77777777" w:rsidR="00C24D51" w:rsidRPr="00911D98" w:rsidRDefault="00C24D51" w:rsidP="005F35A3">
      <w:pPr>
        <w:ind w:left="720"/>
        <w:rPr>
          <w:sz w:val="18"/>
        </w:rPr>
      </w:pPr>
    </w:p>
    <w:p w14:paraId="445A5A8A" w14:textId="77777777" w:rsidR="00063BC4" w:rsidRDefault="00063BC4">
      <w:pPr>
        <w:spacing w:after="200"/>
        <w:rPr>
          <w:b/>
        </w:rPr>
      </w:pPr>
      <w:r>
        <w:rPr>
          <w:b/>
        </w:rPr>
        <w:br w:type="page"/>
      </w:r>
    </w:p>
    <w:p w14:paraId="59504715" w14:textId="77777777" w:rsidR="005F35A3" w:rsidRDefault="005F35A3" w:rsidP="005F35A3">
      <w:pPr>
        <w:pStyle w:val="ListParagraph"/>
        <w:numPr>
          <w:ilvl w:val="1"/>
          <w:numId w:val="2"/>
        </w:numPr>
      </w:pPr>
      <w:r w:rsidRPr="004036A4">
        <w:rPr>
          <w:b/>
        </w:rPr>
        <w:lastRenderedPageBreak/>
        <w:t xml:space="preserve">Completing the </w:t>
      </w:r>
      <w:r>
        <w:rPr>
          <w:b/>
        </w:rPr>
        <w:t>‘</w:t>
      </w:r>
      <w:r w:rsidR="00063BC4">
        <w:rPr>
          <w:b/>
        </w:rPr>
        <w:t>Accreditation Details Form</w:t>
      </w:r>
      <w:r>
        <w:rPr>
          <w:b/>
        </w:rPr>
        <w:t>’</w:t>
      </w:r>
    </w:p>
    <w:tbl>
      <w:tblPr>
        <w:tblStyle w:val="TableGrid"/>
        <w:tblW w:w="9864" w:type="dxa"/>
        <w:tblInd w:w="25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CellMar>
          <w:top w:w="57" w:type="dxa"/>
          <w:bottom w:w="57" w:type="dxa"/>
        </w:tblCellMar>
        <w:tblLook w:val="04A0" w:firstRow="1" w:lastRow="0" w:firstColumn="1" w:lastColumn="0" w:noHBand="0" w:noVBand="1"/>
      </w:tblPr>
      <w:tblGrid>
        <w:gridCol w:w="5102"/>
        <w:gridCol w:w="4762"/>
      </w:tblGrid>
      <w:tr w:rsidR="006303B9" w:rsidRPr="00825196" w14:paraId="776EB8F2" w14:textId="77777777" w:rsidTr="00560359">
        <w:tc>
          <w:tcPr>
            <w:tcW w:w="5102" w:type="dxa"/>
          </w:tcPr>
          <w:p w14:paraId="77C3E07E" w14:textId="77777777" w:rsidR="006303B9" w:rsidRPr="00D55D95" w:rsidRDefault="006303B9" w:rsidP="006303B9">
            <w:pPr>
              <w:pStyle w:val="Tablebody"/>
            </w:pPr>
            <w:r>
              <w:rPr>
                <w:noProof/>
              </w:rPr>
              <w:drawing>
                <wp:inline distT="0" distB="0" distL="0" distR="0" wp14:anchorId="2E618DB5" wp14:editId="6F862DF2">
                  <wp:extent cx="2860040" cy="260004"/>
                  <wp:effectExtent l="19050" t="19050" r="16510" b="260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910729" cy="264612"/>
                          </a:xfrm>
                          <a:prstGeom prst="rect">
                            <a:avLst/>
                          </a:prstGeom>
                          <a:ln>
                            <a:solidFill>
                              <a:schemeClr val="bg1">
                                <a:lumMod val="75000"/>
                              </a:schemeClr>
                            </a:solidFill>
                          </a:ln>
                        </pic:spPr>
                      </pic:pic>
                    </a:graphicData>
                  </a:graphic>
                </wp:inline>
              </w:drawing>
            </w:r>
          </w:p>
        </w:tc>
        <w:tc>
          <w:tcPr>
            <w:tcW w:w="4762" w:type="dxa"/>
            <w:shd w:val="clear" w:color="auto" w:fill="EAEAEA"/>
          </w:tcPr>
          <w:p w14:paraId="3088493F" w14:textId="77777777" w:rsidR="006303B9" w:rsidRPr="00604CD9" w:rsidRDefault="005F35A3" w:rsidP="006303B9">
            <w:pPr>
              <w:pStyle w:val="Tablebody"/>
              <w:rPr>
                <w:color w:val="FF0000"/>
              </w:rPr>
            </w:pPr>
            <w:r w:rsidRPr="005F35A3">
              <w:t xml:space="preserve">Based on the </w:t>
            </w:r>
            <w:r w:rsidR="00C24D51" w:rsidRPr="005F35A3">
              <w:t>self-assessment</w:t>
            </w:r>
            <w:r w:rsidRPr="005F35A3">
              <w:t xml:space="preserve"> of each of the </w:t>
            </w:r>
            <w:r w:rsidR="00C24D51">
              <w:t>Assessment Details Forms</w:t>
            </w:r>
            <w:r w:rsidRPr="005F35A3">
              <w:t xml:space="preserve">, select the overall score for the </w:t>
            </w:r>
            <w:r w:rsidR="008527A3">
              <w:t>Standard</w:t>
            </w:r>
            <w:r w:rsidRPr="005F35A3">
              <w:t xml:space="preserve"> requirement. </w:t>
            </w:r>
          </w:p>
        </w:tc>
      </w:tr>
      <w:tr w:rsidR="005F35A3" w:rsidRPr="00825196" w14:paraId="355A72F0" w14:textId="77777777" w:rsidTr="00560359">
        <w:tc>
          <w:tcPr>
            <w:tcW w:w="5102" w:type="dxa"/>
          </w:tcPr>
          <w:p w14:paraId="6DBA0B8E" w14:textId="77777777" w:rsidR="005F35A3" w:rsidRDefault="005F35A3" w:rsidP="006303B9">
            <w:pPr>
              <w:pStyle w:val="Tablebody"/>
              <w:rPr>
                <w:noProof/>
              </w:rPr>
            </w:pPr>
            <w:r>
              <w:rPr>
                <w:noProof/>
              </w:rPr>
              <w:drawing>
                <wp:inline distT="0" distB="0" distL="0" distR="0" wp14:anchorId="099D8AEA" wp14:editId="7BE6D8FE">
                  <wp:extent cx="2860040" cy="1484326"/>
                  <wp:effectExtent l="19050" t="19050" r="16510" b="209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885673" cy="1497629"/>
                          </a:xfrm>
                          <a:prstGeom prst="rect">
                            <a:avLst/>
                          </a:prstGeom>
                          <a:ln>
                            <a:solidFill>
                              <a:schemeClr val="bg1">
                                <a:lumMod val="75000"/>
                              </a:schemeClr>
                            </a:solidFill>
                          </a:ln>
                        </pic:spPr>
                      </pic:pic>
                    </a:graphicData>
                  </a:graphic>
                </wp:inline>
              </w:drawing>
            </w:r>
          </w:p>
        </w:tc>
        <w:tc>
          <w:tcPr>
            <w:tcW w:w="4762" w:type="dxa"/>
            <w:shd w:val="clear" w:color="auto" w:fill="EAEAEA"/>
          </w:tcPr>
          <w:p w14:paraId="155A394E" w14:textId="77777777" w:rsidR="005F35A3" w:rsidRDefault="00911D98" w:rsidP="006303B9">
            <w:pPr>
              <w:pStyle w:val="Tablebody"/>
            </w:pPr>
            <w:r>
              <w:t xml:space="preserve">If there are incident types and feedback categories that relate to meeting this </w:t>
            </w:r>
            <w:r w:rsidR="00C24D51">
              <w:t>S</w:t>
            </w:r>
            <w:r>
              <w:t xml:space="preserve">tandard, they can be linked to the </w:t>
            </w:r>
            <w:r w:rsidR="00C24D51">
              <w:t>S</w:t>
            </w:r>
            <w:r>
              <w:t xml:space="preserve">tandard via this field. </w:t>
            </w:r>
          </w:p>
          <w:p w14:paraId="41551C69" w14:textId="77777777" w:rsidR="00C24D51" w:rsidRDefault="00C24D51" w:rsidP="006303B9">
            <w:pPr>
              <w:pStyle w:val="Tablebody"/>
            </w:pPr>
          </w:p>
          <w:p w14:paraId="792FAF06" w14:textId="77777777" w:rsidR="00911D98" w:rsidRDefault="00C24D51" w:rsidP="006303B9">
            <w:pPr>
              <w:pStyle w:val="Tablebody"/>
            </w:pPr>
            <w:r>
              <w:t>When incidents or feedback are</w:t>
            </w:r>
            <w:r w:rsidR="00911D98">
              <w:t xml:space="preserve"> </w:t>
            </w:r>
            <w:r w:rsidR="00B1739C">
              <w:t>reported,</w:t>
            </w:r>
            <w:r>
              <w:t xml:space="preserve"> and these incident types / feedback categories are selected, details of these reports </w:t>
            </w:r>
            <w:r w:rsidR="00911D98">
              <w:t xml:space="preserve">will appear </w:t>
            </w:r>
            <w:r>
              <w:t>as part of</w:t>
            </w:r>
            <w:r w:rsidR="00911D98">
              <w:t xml:space="preserve"> the </w:t>
            </w:r>
            <w:r w:rsidR="009A5A0E">
              <w:t>Evidence Report</w:t>
            </w:r>
            <w:r w:rsidR="00911D98">
              <w:t xml:space="preserve"> </w:t>
            </w:r>
            <w:r>
              <w:t xml:space="preserve">of your organisation meets the Standard. This is useful when you want to demonstrate that you receive </w:t>
            </w:r>
            <w:r w:rsidR="00B1739C">
              <w:t>positive feedback, for example, in relation to access to care. Or when you need to demonstrate that how you respond to and manage types of incidents</w:t>
            </w:r>
            <w:r w:rsidR="00911D98">
              <w:t xml:space="preserve">. </w:t>
            </w:r>
          </w:p>
        </w:tc>
      </w:tr>
      <w:tr w:rsidR="006303B9" w:rsidRPr="00825196" w14:paraId="062FA2F9" w14:textId="77777777" w:rsidTr="00560359">
        <w:tc>
          <w:tcPr>
            <w:tcW w:w="5102" w:type="dxa"/>
          </w:tcPr>
          <w:p w14:paraId="69F84178" w14:textId="77777777" w:rsidR="006303B9" w:rsidRPr="00D55D95" w:rsidRDefault="006303B9" w:rsidP="006303B9">
            <w:pPr>
              <w:pStyle w:val="Tablebody"/>
            </w:pPr>
            <w:r>
              <w:rPr>
                <w:noProof/>
              </w:rPr>
              <w:drawing>
                <wp:inline distT="0" distB="0" distL="0" distR="0" wp14:anchorId="621F8BFF" wp14:editId="6F4A9C10">
                  <wp:extent cx="2879725" cy="215112"/>
                  <wp:effectExtent l="19050" t="19050" r="15875" b="139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03887" cy="224387"/>
                          </a:xfrm>
                          <a:prstGeom prst="rect">
                            <a:avLst/>
                          </a:prstGeom>
                          <a:ln>
                            <a:solidFill>
                              <a:schemeClr val="bg1">
                                <a:lumMod val="75000"/>
                              </a:schemeClr>
                            </a:solidFill>
                          </a:ln>
                        </pic:spPr>
                      </pic:pic>
                    </a:graphicData>
                  </a:graphic>
                </wp:inline>
              </w:drawing>
            </w:r>
          </w:p>
        </w:tc>
        <w:tc>
          <w:tcPr>
            <w:tcW w:w="4762" w:type="dxa"/>
            <w:shd w:val="clear" w:color="auto" w:fill="EAEAEA"/>
          </w:tcPr>
          <w:p w14:paraId="73F48217" w14:textId="77777777" w:rsidR="006303B9" w:rsidRPr="00604CD9" w:rsidRDefault="006303B9" w:rsidP="006303B9">
            <w:pPr>
              <w:pStyle w:val="Tablebody"/>
              <w:rPr>
                <w:color w:val="FF0000"/>
              </w:rPr>
            </w:pPr>
            <w:r w:rsidRPr="008C2A80">
              <w:t xml:space="preserve">Select the person </w:t>
            </w:r>
            <w:r w:rsidR="00B1739C">
              <w:t xml:space="preserve">who is responsible for </w:t>
            </w:r>
            <w:r w:rsidRPr="008C2A80">
              <w:t>manag</w:t>
            </w:r>
            <w:r w:rsidR="00B1739C">
              <w:t xml:space="preserve">ing compliance with this Standard. </w:t>
            </w:r>
          </w:p>
        </w:tc>
      </w:tr>
      <w:tr w:rsidR="006303B9" w:rsidRPr="00825196" w14:paraId="69E6A27A" w14:textId="77777777" w:rsidTr="00560359">
        <w:tc>
          <w:tcPr>
            <w:tcW w:w="5102" w:type="dxa"/>
          </w:tcPr>
          <w:p w14:paraId="6C8BCC3F" w14:textId="77777777" w:rsidR="006303B9" w:rsidRDefault="006303B9" w:rsidP="006303B9">
            <w:pPr>
              <w:pStyle w:val="Tablebody"/>
            </w:pPr>
            <w:r w:rsidRPr="00E03095">
              <w:rPr>
                <w:noProof/>
                <w:szCs w:val="18"/>
              </w:rPr>
              <w:drawing>
                <wp:inline distT="0" distB="0" distL="0" distR="0" wp14:anchorId="1C51F745" wp14:editId="0F87C373">
                  <wp:extent cx="2880000" cy="225985"/>
                  <wp:effectExtent l="19050" t="19050" r="15875" b="222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80000" cy="225985"/>
                          </a:xfrm>
                          <a:prstGeom prst="rect">
                            <a:avLst/>
                          </a:prstGeom>
                          <a:ln>
                            <a:solidFill>
                              <a:schemeClr val="bg1">
                                <a:lumMod val="75000"/>
                              </a:schemeClr>
                            </a:solidFill>
                          </a:ln>
                        </pic:spPr>
                      </pic:pic>
                    </a:graphicData>
                  </a:graphic>
                </wp:inline>
              </w:drawing>
            </w:r>
          </w:p>
        </w:tc>
        <w:tc>
          <w:tcPr>
            <w:tcW w:w="4762" w:type="dxa"/>
            <w:shd w:val="clear" w:color="auto" w:fill="EAEAEA"/>
          </w:tcPr>
          <w:p w14:paraId="4A278A04" w14:textId="77777777" w:rsidR="006303B9" w:rsidRPr="00604CD9" w:rsidRDefault="006303B9" w:rsidP="006303B9">
            <w:pPr>
              <w:pStyle w:val="Tablebody"/>
              <w:rPr>
                <w:color w:val="FF0000"/>
              </w:rPr>
            </w:pPr>
            <w:r w:rsidRPr="008C2A80">
              <w:t xml:space="preserve">Select the person who has the authority to approve the </w:t>
            </w:r>
            <w:r w:rsidR="008527A3">
              <w:t>S</w:t>
            </w:r>
            <w:r w:rsidRPr="008C2A80">
              <w:t xml:space="preserve">tandard </w:t>
            </w:r>
            <w:r w:rsidR="008527A3">
              <w:t>to be</w:t>
            </w:r>
            <w:r w:rsidRPr="008C2A80">
              <w:t xml:space="preserve"> published t</w:t>
            </w:r>
            <w:r w:rsidR="008527A3">
              <w:t>on</w:t>
            </w:r>
            <w:r w:rsidRPr="008C2A80">
              <w:t xml:space="preserve"> the </w:t>
            </w:r>
            <w:r w:rsidR="008527A3">
              <w:t>A</w:t>
            </w:r>
            <w:r w:rsidRPr="008C2A80">
              <w:t xml:space="preserve">ccreditation </w:t>
            </w:r>
            <w:r w:rsidR="008527A3">
              <w:t>Module</w:t>
            </w:r>
            <w:r w:rsidRPr="008C2A80">
              <w:t xml:space="preserve">. </w:t>
            </w:r>
          </w:p>
        </w:tc>
      </w:tr>
      <w:tr w:rsidR="00911D98" w:rsidRPr="00825196" w14:paraId="6198E1C0" w14:textId="77777777" w:rsidTr="00560359">
        <w:tc>
          <w:tcPr>
            <w:tcW w:w="5102" w:type="dxa"/>
          </w:tcPr>
          <w:p w14:paraId="4FF41928" w14:textId="77777777" w:rsidR="00911D98" w:rsidRPr="00E03095" w:rsidRDefault="00911D98" w:rsidP="00911D98">
            <w:pPr>
              <w:pStyle w:val="Tablebody"/>
              <w:rPr>
                <w:noProof/>
                <w:szCs w:val="18"/>
              </w:rPr>
            </w:pPr>
            <w:r w:rsidRPr="00E03095">
              <w:rPr>
                <w:noProof/>
                <w:szCs w:val="18"/>
              </w:rPr>
              <w:drawing>
                <wp:inline distT="0" distB="0" distL="0" distR="0" wp14:anchorId="6661BAC9" wp14:editId="4E47B112">
                  <wp:extent cx="2880000" cy="251345"/>
                  <wp:effectExtent l="19050" t="19050" r="15875" b="1587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80000" cy="251345"/>
                          </a:xfrm>
                          <a:prstGeom prst="rect">
                            <a:avLst/>
                          </a:prstGeom>
                          <a:ln>
                            <a:solidFill>
                              <a:schemeClr val="bg1">
                                <a:lumMod val="75000"/>
                              </a:schemeClr>
                            </a:solidFill>
                          </a:ln>
                        </pic:spPr>
                      </pic:pic>
                    </a:graphicData>
                  </a:graphic>
                </wp:inline>
              </w:drawing>
            </w:r>
          </w:p>
        </w:tc>
        <w:tc>
          <w:tcPr>
            <w:tcW w:w="4762" w:type="dxa"/>
            <w:shd w:val="clear" w:color="auto" w:fill="EAEAEA"/>
          </w:tcPr>
          <w:p w14:paraId="6275F084" w14:textId="77777777" w:rsidR="00911D98" w:rsidRDefault="00911D98" w:rsidP="00911D98">
            <w:pPr>
              <w:pStyle w:val="Tablebody"/>
            </w:pPr>
            <w:r>
              <w:t xml:space="preserve">Select the </w:t>
            </w:r>
            <w:r w:rsidR="008527A3">
              <w:t xml:space="preserve">meeting responsible for oversight of compliance with this Standard. </w:t>
            </w:r>
          </w:p>
        </w:tc>
      </w:tr>
      <w:tr w:rsidR="00911D98" w:rsidRPr="00825196" w14:paraId="4EDFA7C1" w14:textId="77777777" w:rsidTr="00560359">
        <w:tc>
          <w:tcPr>
            <w:tcW w:w="5102" w:type="dxa"/>
          </w:tcPr>
          <w:p w14:paraId="41196EDF" w14:textId="77777777" w:rsidR="00911D98" w:rsidRPr="00E03095" w:rsidRDefault="00911D98" w:rsidP="00911D98">
            <w:pPr>
              <w:pStyle w:val="Tablebody"/>
              <w:rPr>
                <w:noProof/>
                <w:szCs w:val="18"/>
              </w:rPr>
            </w:pPr>
            <w:r w:rsidRPr="00E03095">
              <w:rPr>
                <w:noProof/>
                <w:szCs w:val="18"/>
              </w:rPr>
              <w:drawing>
                <wp:inline distT="0" distB="0" distL="0" distR="0" wp14:anchorId="2F60E9A4" wp14:editId="33EFF3D9">
                  <wp:extent cx="2880000" cy="251345"/>
                  <wp:effectExtent l="19050" t="19050" r="15875" b="1587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80000" cy="251345"/>
                          </a:xfrm>
                          <a:prstGeom prst="rect">
                            <a:avLst/>
                          </a:prstGeom>
                          <a:ln>
                            <a:solidFill>
                              <a:schemeClr val="bg1">
                                <a:lumMod val="75000"/>
                              </a:schemeClr>
                            </a:solidFill>
                          </a:ln>
                        </pic:spPr>
                      </pic:pic>
                    </a:graphicData>
                  </a:graphic>
                </wp:inline>
              </w:drawing>
            </w:r>
          </w:p>
        </w:tc>
        <w:tc>
          <w:tcPr>
            <w:tcW w:w="4762" w:type="dxa"/>
            <w:shd w:val="clear" w:color="auto" w:fill="EAEAEA"/>
          </w:tcPr>
          <w:p w14:paraId="07BF3EFA" w14:textId="77777777" w:rsidR="00911D98" w:rsidRPr="00604CD9" w:rsidRDefault="00911D98" w:rsidP="00911D98">
            <w:pPr>
              <w:pStyle w:val="Tablebody"/>
              <w:rPr>
                <w:color w:val="FF0000"/>
              </w:rPr>
            </w:pPr>
            <w:r w:rsidRPr="008C2A80">
              <w:t xml:space="preserve">Select the </w:t>
            </w:r>
            <w:r w:rsidR="008527A3">
              <w:t xml:space="preserve">meeting </w:t>
            </w:r>
            <w:r w:rsidRPr="008C2A80">
              <w:t>responsible for monitoring</w:t>
            </w:r>
            <w:r w:rsidR="008527A3">
              <w:t xml:space="preserve"> the organisation’s compliance with</w:t>
            </w:r>
            <w:r w:rsidRPr="008C2A80">
              <w:t xml:space="preserve"> th</w:t>
            </w:r>
            <w:r w:rsidR="008527A3">
              <w:t>is S</w:t>
            </w:r>
            <w:r w:rsidRPr="008C2A80">
              <w:t>tandard.</w:t>
            </w:r>
          </w:p>
        </w:tc>
      </w:tr>
      <w:tr w:rsidR="00911D98" w:rsidRPr="00825196" w14:paraId="08EF560C" w14:textId="77777777" w:rsidTr="00560359">
        <w:tc>
          <w:tcPr>
            <w:tcW w:w="5102" w:type="dxa"/>
          </w:tcPr>
          <w:p w14:paraId="75337405" w14:textId="77777777" w:rsidR="00911D98" w:rsidRPr="00E03095" w:rsidRDefault="00911D98" w:rsidP="00911D98">
            <w:pPr>
              <w:pStyle w:val="Tablebody"/>
              <w:rPr>
                <w:noProof/>
                <w:szCs w:val="18"/>
              </w:rPr>
            </w:pPr>
            <w:r>
              <w:rPr>
                <w:noProof/>
              </w:rPr>
              <w:drawing>
                <wp:inline distT="0" distB="0" distL="0" distR="0" wp14:anchorId="176A9950" wp14:editId="6F883E7E">
                  <wp:extent cx="2879090" cy="255459"/>
                  <wp:effectExtent l="19050" t="19050" r="16510" b="1143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3142" cy="263804"/>
                          </a:xfrm>
                          <a:prstGeom prst="rect">
                            <a:avLst/>
                          </a:prstGeom>
                          <a:ln>
                            <a:solidFill>
                              <a:schemeClr val="bg1">
                                <a:lumMod val="75000"/>
                              </a:schemeClr>
                            </a:solidFill>
                          </a:ln>
                        </pic:spPr>
                      </pic:pic>
                    </a:graphicData>
                  </a:graphic>
                </wp:inline>
              </w:drawing>
            </w:r>
          </w:p>
        </w:tc>
        <w:tc>
          <w:tcPr>
            <w:tcW w:w="4762" w:type="dxa"/>
            <w:shd w:val="clear" w:color="auto" w:fill="EAEAEA"/>
          </w:tcPr>
          <w:p w14:paraId="51F6ED02" w14:textId="77777777" w:rsidR="00911D98" w:rsidRPr="008C2A80" w:rsidRDefault="00911D98" w:rsidP="00911D98">
            <w:pPr>
              <w:pStyle w:val="Tablebody"/>
            </w:pPr>
            <w:r w:rsidRPr="009748E0">
              <w:t xml:space="preserve">Enter the date when the </w:t>
            </w:r>
            <w:r w:rsidR="008527A3">
              <w:t>S</w:t>
            </w:r>
            <w:r w:rsidRPr="009748E0">
              <w:t xml:space="preserve">tandard </w:t>
            </w:r>
            <w:r w:rsidR="008527A3">
              <w:t>is to</w:t>
            </w:r>
            <w:r w:rsidRPr="009748E0">
              <w:t xml:space="preserve"> be reviewed in the future.</w:t>
            </w:r>
          </w:p>
        </w:tc>
      </w:tr>
    </w:tbl>
    <w:p w14:paraId="60C4C88C" w14:textId="77777777" w:rsidR="00763876" w:rsidRPr="00763876" w:rsidRDefault="00763876" w:rsidP="00763876">
      <w:pPr>
        <w:pStyle w:val="ListParagraph"/>
        <w:ind w:left="792"/>
      </w:pPr>
    </w:p>
    <w:p w14:paraId="784E99EB" w14:textId="77777777" w:rsidR="002677C8" w:rsidRDefault="00911D98" w:rsidP="002677C8">
      <w:pPr>
        <w:pStyle w:val="ListParagraph"/>
        <w:numPr>
          <w:ilvl w:val="1"/>
          <w:numId w:val="2"/>
        </w:numPr>
      </w:pPr>
      <w:r>
        <w:rPr>
          <w:b/>
        </w:rPr>
        <w:t xml:space="preserve">Add actions to further comply with the requirements of the </w:t>
      </w:r>
      <w:r w:rsidR="008527A3">
        <w:rPr>
          <w:b/>
        </w:rPr>
        <w:t>Standard</w:t>
      </w:r>
      <w:r w:rsidR="00763876">
        <w:rPr>
          <w:b/>
        </w:rPr>
        <w:t xml:space="preserve"> </w:t>
      </w:r>
    </w:p>
    <w:tbl>
      <w:tblPr>
        <w:tblStyle w:val="TableGrid"/>
        <w:tblW w:w="9902" w:type="dxa"/>
        <w:tblInd w:w="21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CellMar>
          <w:top w:w="57" w:type="dxa"/>
          <w:bottom w:w="57" w:type="dxa"/>
        </w:tblCellMar>
        <w:tblLook w:val="04A0" w:firstRow="1" w:lastRow="0" w:firstColumn="1" w:lastColumn="0" w:noHBand="0" w:noVBand="1"/>
      </w:tblPr>
      <w:tblGrid>
        <w:gridCol w:w="5141"/>
        <w:gridCol w:w="4761"/>
      </w:tblGrid>
      <w:tr w:rsidR="00911D98" w:rsidRPr="00825196" w14:paraId="5053321F" w14:textId="77777777" w:rsidTr="00560359">
        <w:trPr>
          <w:trHeight w:val="794"/>
        </w:trPr>
        <w:tc>
          <w:tcPr>
            <w:tcW w:w="5141" w:type="dxa"/>
          </w:tcPr>
          <w:p w14:paraId="7A73BE42" w14:textId="77777777" w:rsidR="00911D98" w:rsidRDefault="00911D98" w:rsidP="00560359">
            <w:pPr>
              <w:pStyle w:val="Tablebody"/>
              <w:rPr>
                <w:noProof/>
              </w:rPr>
            </w:pPr>
            <w:r>
              <w:rPr>
                <w:noProof/>
              </w:rPr>
              <w:drawing>
                <wp:inline distT="0" distB="0" distL="0" distR="0" wp14:anchorId="58D25CF6" wp14:editId="19452681">
                  <wp:extent cx="2894354" cy="805697"/>
                  <wp:effectExtent l="19050" t="19050" r="20320" b="1397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894354" cy="805697"/>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tc>
        <w:tc>
          <w:tcPr>
            <w:tcW w:w="4761" w:type="dxa"/>
            <w:shd w:val="clear" w:color="auto" w:fill="EAEAEA"/>
          </w:tcPr>
          <w:p w14:paraId="4556EDC7" w14:textId="77777777" w:rsidR="008527A3" w:rsidRDefault="008527A3" w:rsidP="008527A3">
            <w:pPr>
              <w:pStyle w:val="Tablebody"/>
            </w:pPr>
            <w:r>
              <w:t xml:space="preserve">If your organisation needs to take further action in order to meet the requirements of the Standard, details of the action can be added here, which will be collated into a single Accreditation Action Plan, with all actions across </w:t>
            </w:r>
            <w:proofErr w:type="gramStart"/>
            <w:r>
              <w:t>all of</w:t>
            </w:r>
            <w:proofErr w:type="gramEnd"/>
            <w:r>
              <w:t xml:space="preserve"> the Standards. </w:t>
            </w:r>
          </w:p>
          <w:p w14:paraId="32ECB240" w14:textId="77777777" w:rsidR="008527A3" w:rsidRDefault="008527A3" w:rsidP="008527A3">
            <w:pPr>
              <w:pStyle w:val="Tablebody"/>
            </w:pPr>
          </w:p>
          <w:p w14:paraId="3D7F1B9D" w14:textId="77777777" w:rsidR="00911D98" w:rsidRDefault="008527A3" w:rsidP="008527A3">
            <w:pPr>
              <w:pStyle w:val="Tablebody"/>
            </w:pPr>
            <w:r>
              <w:rPr>
                <w:i/>
              </w:rPr>
              <w:t xml:space="preserve">Note: The </w:t>
            </w:r>
            <w:r w:rsidRPr="00F154C2">
              <w:rPr>
                <w:i/>
              </w:rPr>
              <w:t xml:space="preserve">“Accreditation Action Plan” </w:t>
            </w:r>
            <w:r>
              <w:rPr>
                <w:i/>
              </w:rPr>
              <w:t>which will provide details of action to be taken to meet the Standards, appears on a separate tab in the Accreditation Module.</w:t>
            </w:r>
          </w:p>
        </w:tc>
      </w:tr>
    </w:tbl>
    <w:p w14:paraId="22B6B22B" w14:textId="77777777" w:rsidR="00763876" w:rsidRDefault="00763876" w:rsidP="00763876">
      <w:pPr>
        <w:pStyle w:val="ListParagraph"/>
        <w:ind w:left="792"/>
        <w:rPr>
          <w:b/>
        </w:rPr>
      </w:pPr>
    </w:p>
    <w:p w14:paraId="55DDEC78" w14:textId="77777777" w:rsidR="00063BC4" w:rsidRDefault="00063BC4">
      <w:pPr>
        <w:spacing w:after="200"/>
        <w:rPr>
          <w:b/>
        </w:rPr>
      </w:pPr>
      <w:r>
        <w:rPr>
          <w:b/>
        </w:rPr>
        <w:br w:type="page"/>
      </w:r>
    </w:p>
    <w:p w14:paraId="3DC5910F" w14:textId="77777777" w:rsidR="00763876" w:rsidRDefault="00763876" w:rsidP="00763876">
      <w:pPr>
        <w:pStyle w:val="ListParagraph"/>
        <w:numPr>
          <w:ilvl w:val="1"/>
          <w:numId w:val="2"/>
        </w:numPr>
        <w:rPr>
          <w:b/>
        </w:rPr>
      </w:pPr>
      <w:r w:rsidRPr="00763876">
        <w:rPr>
          <w:b/>
        </w:rPr>
        <w:lastRenderedPageBreak/>
        <w:t xml:space="preserve">Saving the </w:t>
      </w:r>
      <w:r w:rsidR="00063BC4">
        <w:rPr>
          <w:b/>
        </w:rPr>
        <w:t>Accreditation Details Form</w:t>
      </w:r>
    </w:p>
    <w:p w14:paraId="5F5AC1A4" w14:textId="77777777" w:rsidR="00763876" w:rsidRDefault="00763876" w:rsidP="00763876">
      <w:pPr>
        <w:pStyle w:val="ListParagraph"/>
        <w:numPr>
          <w:ilvl w:val="0"/>
          <w:numId w:val="3"/>
        </w:numPr>
      </w:pPr>
      <w:r>
        <w:t xml:space="preserve">The </w:t>
      </w:r>
      <w:r>
        <w:rPr>
          <w:b/>
        </w:rPr>
        <w:t>Delete Draft</w:t>
      </w:r>
      <w:r>
        <w:t xml:space="preserve"> option will delete the draft </w:t>
      </w:r>
      <w:r w:rsidR="00063BC4">
        <w:t>Accreditation Details Form</w:t>
      </w:r>
      <w:r>
        <w:t xml:space="preserve"> including the assessment forms.</w:t>
      </w:r>
    </w:p>
    <w:p w14:paraId="37C39E93" w14:textId="77777777" w:rsidR="00D52092" w:rsidRDefault="00D52092" w:rsidP="00D52092">
      <w:pPr>
        <w:pStyle w:val="ListParagraph"/>
      </w:pPr>
    </w:p>
    <w:p w14:paraId="66A739C1" w14:textId="77777777" w:rsidR="00D52092" w:rsidRDefault="00763876" w:rsidP="00D52092">
      <w:pPr>
        <w:pStyle w:val="ListParagraph"/>
        <w:numPr>
          <w:ilvl w:val="0"/>
          <w:numId w:val="3"/>
        </w:numPr>
      </w:pPr>
      <w:r>
        <w:t xml:space="preserve">The </w:t>
      </w:r>
      <w:r>
        <w:rPr>
          <w:b/>
        </w:rPr>
        <w:t>Save Draft</w:t>
      </w:r>
      <w:r>
        <w:t xml:space="preserve"> option will allow you to save your progress in completing the </w:t>
      </w:r>
      <w:r w:rsidR="00063BC4">
        <w:t>Accreditation Details Form</w:t>
      </w:r>
      <w:r>
        <w:t xml:space="preserve">. The </w:t>
      </w:r>
      <w:r w:rsidR="00063BC4">
        <w:t>Accreditation Details Form</w:t>
      </w:r>
      <w:r>
        <w:t xml:space="preserve"> will remain in the draft tab. </w:t>
      </w:r>
    </w:p>
    <w:p w14:paraId="385F7E7A" w14:textId="77777777" w:rsidR="00763876" w:rsidRDefault="00763876" w:rsidP="00763876">
      <w:pPr>
        <w:pStyle w:val="ListParagraph"/>
        <w:rPr>
          <w:i/>
          <w:sz w:val="18"/>
        </w:rPr>
      </w:pPr>
      <w:r w:rsidRPr="00763876">
        <w:rPr>
          <w:b/>
          <w:sz w:val="18"/>
        </w:rPr>
        <w:t>Note:</w:t>
      </w:r>
      <w:r w:rsidRPr="00763876">
        <w:rPr>
          <w:sz w:val="18"/>
        </w:rPr>
        <w:t xml:space="preserve"> </w:t>
      </w:r>
      <w:r w:rsidRPr="00763876">
        <w:rPr>
          <w:i/>
          <w:sz w:val="18"/>
        </w:rPr>
        <w:t xml:space="preserve">The user fields within the form cannot be completed when saving the form as draft. This includes: Quality Manager, Approval Officer, Review Officer, or the action office and due date for an added action task. </w:t>
      </w:r>
    </w:p>
    <w:p w14:paraId="4283CE3C" w14:textId="77777777" w:rsidR="00D52092" w:rsidRPr="00763876" w:rsidRDefault="00D52092" w:rsidP="00763876">
      <w:pPr>
        <w:pStyle w:val="ListParagraph"/>
        <w:rPr>
          <w:sz w:val="18"/>
        </w:rPr>
      </w:pPr>
    </w:p>
    <w:p w14:paraId="558BAB50" w14:textId="77777777" w:rsidR="00763876" w:rsidRDefault="00763876" w:rsidP="00763876">
      <w:pPr>
        <w:pStyle w:val="ListParagraph"/>
        <w:numPr>
          <w:ilvl w:val="0"/>
          <w:numId w:val="3"/>
        </w:numPr>
      </w:pPr>
      <w:r>
        <w:t xml:space="preserve">The </w:t>
      </w:r>
      <w:r>
        <w:rPr>
          <w:b/>
        </w:rPr>
        <w:t xml:space="preserve">Cancel </w:t>
      </w:r>
      <w:r>
        <w:t xml:space="preserve">option will not save any changes you may have made. The </w:t>
      </w:r>
      <w:r w:rsidR="00063BC4">
        <w:t>Accreditation Details Form</w:t>
      </w:r>
      <w:r>
        <w:t xml:space="preserve"> will remain in the draft tab. </w:t>
      </w:r>
    </w:p>
    <w:p w14:paraId="6A37FBE5" w14:textId="77777777" w:rsidR="00D52092" w:rsidRDefault="00D52092" w:rsidP="00D52092">
      <w:pPr>
        <w:pStyle w:val="ListParagraph"/>
      </w:pPr>
    </w:p>
    <w:p w14:paraId="00C7663F" w14:textId="77777777" w:rsidR="00D52092" w:rsidRDefault="00763876" w:rsidP="00763876">
      <w:pPr>
        <w:pStyle w:val="ListParagraph"/>
        <w:numPr>
          <w:ilvl w:val="0"/>
          <w:numId w:val="3"/>
        </w:numPr>
      </w:pPr>
      <w:r>
        <w:t xml:space="preserve">The </w:t>
      </w:r>
      <w:r>
        <w:rPr>
          <w:b/>
        </w:rPr>
        <w:t xml:space="preserve">Save </w:t>
      </w:r>
      <w:r>
        <w:t xml:space="preserve">option will allow you to publish the </w:t>
      </w:r>
      <w:r w:rsidR="00063BC4">
        <w:t>Accreditation Details Form</w:t>
      </w:r>
      <w:r>
        <w:t xml:space="preserve">. The </w:t>
      </w:r>
      <w:r w:rsidR="00063BC4">
        <w:t>Accreditation Details Form</w:t>
      </w:r>
      <w:r>
        <w:t xml:space="preserve"> will move to the </w:t>
      </w:r>
      <w:r w:rsidR="00C56F85" w:rsidRPr="00C56F85">
        <w:rPr>
          <w:b/>
        </w:rPr>
        <w:t>R</w:t>
      </w:r>
      <w:r w:rsidRPr="00C56F85">
        <w:rPr>
          <w:b/>
        </w:rPr>
        <w:t>equirements</w:t>
      </w:r>
      <w:r>
        <w:t xml:space="preserve"> tab. The </w:t>
      </w:r>
      <w:r w:rsidR="009A5A0E">
        <w:t>Assessment Details Form</w:t>
      </w:r>
      <w:r>
        <w:t>/s wi</w:t>
      </w:r>
      <w:r w:rsidR="00C56F85">
        <w:t xml:space="preserve">thin the </w:t>
      </w:r>
      <w:r w:rsidR="00063BC4">
        <w:t>Accreditation Details Form</w:t>
      </w:r>
      <w:r w:rsidR="00C56F85">
        <w:t xml:space="preserve">s will display in the Assessment tab. A task to manage the </w:t>
      </w:r>
      <w:r w:rsidR="00063BC4">
        <w:t>Accreditation Details Form</w:t>
      </w:r>
      <w:r w:rsidR="00C56F85">
        <w:t xml:space="preserve"> will be generated and allocated to the Quality Manager.</w:t>
      </w:r>
    </w:p>
    <w:p w14:paraId="7CAA417F" w14:textId="77777777" w:rsidR="00C56F85" w:rsidRDefault="00C56F85" w:rsidP="00D52092">
      <w:pPr>
        <w:pStyle w:val="ListParagraph"/>
      </w:pPr>
      <w:r>
        <w:t xml:space="preserve"> </w:t>
      </w:r>
    </w:p>
    <w:p w14:paraId="2A9F9156" w14:textId="77777777" w:rsidR="00D52092" w:rsidRDefault="00C56F85" w:rsidP="00C56F85">
      <w:pPr>
        <w:pStyle w:val="ListParagraph"/>
        <w:numPr>
          <w:ilvl w:val="0"/>
          <w:numId w:val="3"/>
        </w:numPr>
      </w:pPr>
      <w:r>
        <w:t xml:space="preserve">The </w:t>
      </w:r>
      <w:r w:rsidRPr="00C56F85">
        <w:rPr>
          <w:b/>
        </w:rPr>
        <w:t xml:space="preserve">Save and Approve </w:t>
      </w:r>
      <w:r>
        <w:t xml:space="preserve">option will allow you to publish the </w:t>
      </w:r>
      <w:r w:rsidR="00063BC4">
        <w:t>Accreditation Details Form</w:t>
      </w:r>
      <w:r>
        <w:t xml:space="preserve"> and approve the item. The </w:t>
      </w:r>
      <w:r w:rsidR="00063BC4">
        <w:t>Accreditation Details Form</w:t>
      </w:r>
      <w:r>
        <w:t xml:space="preserve"> will move to the </w:t>
      </w:r>
      <w:r w:rsidRPr="00C56F85">
        <w:rPr>
          <w:b/>
        </w:rPr>
        <w:t>Requirements</w:t>
      </w:r>
      <w:r>
        <w:t xml:space="preserve"> tab. The </w:t>
      </w:r>
      <w:r w:rsidR="009A5A0E">
        <w:t>Assessment Details Form</w:t>
      </w:r>
      <w:r>
        <w:t xml:space="preserve">/s within the </w:t>
      </w:r>
      <w:r w:rsidR="00063BC4">
        <w:t>Accreditation Details Form</w:t>
      </w:r>
      <w:r>
        <w:t xml:space="preserve">s will display in the Assessment tab. </w:t>
      </w:r>
      <w:r w:rsidRPr="00C56F85">
        <w:t xml:space="preserve">This form </w:t>
      </w:r>
      <w:r>
        <w:t xml:space="preserve">will be identified as </w:t>
      </w:r>
      <w:r w:rsidR="008527A3">
        <w:t>completed and</w:t>
      </w:r>
      <w:r>
        <w:t xml:space="preserve"> </w:t>
      </w:r>
      <w:r w:rsidRPr="00C56F85">
        <w:t>will come up for review based on the review date.</w:t>
      </w:r>
    </w:p>
    <w:p w14:paraId="46975A59" w14:textId="77777777" w:rsidR="00D52092" w:rsidRDefault="00D52092" w:rsidP="00D52092">
      <w:pPr>
        <w:pStyle w:val="ListParagraph"/>
      </w:pPr>
    </w:p>
    <w:p w14:paraId="3771D476" w14:textId="77777777" w:rsidR="00763876" w:rsidRPr="00763876" w:rsidRDefault="00763876" w:rsidP="00D52092">
      <w:pPr>
        <w:pStyle w:val="ListParagraph"/>
      </w:pPr>
      <w:r>
        <w:rPr>
          <w:noProof/>
        </w:rPr>
        <w:drawing>
          <wp:inline distT="0" distB="0" distL="0" distR="0" wp14:anchorId="0CE2F43D" wp14:editId="79C085AC">
            <wp:extent cx="6219825" cy="485775"/>
            <wp:effectExtent l="19050" t="19050" r="28575" b="2857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9825" cy="485775"/>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24F07B53" w14:textId="77777777" w:rsidR="002677C8" w:rsidRDefault="002677C8" w:rsidP="002677C8">
      <w:pPr>
        <w:rPr>
          <w:b/>
        </w:rPr>
      </w:pPr>
    </w:p>
    <w:p w14:paraId="38B7EB6E" w14:textId="77777777" w:rsidR="002677C8" w:rsidRDefault="002677C8" w:rsidP="002677C8">
      <w:pPr>
        <w:rPr>
          <w:b/>
        </w:rPr>
      </w:pPr>
    </w:p>
    <w:p w14:paraId="02CFB15B" w14:textId="77777777" w:rsidR="00C06A82" w:rsidRDefault="00C06A82"/>
    <w:p w14:paraId="74D3B417" w14:textId="77777777" w:rsidR="002D4B63" w:rsidRDefault="002D4B63" w:rsidP="002D4B63"/>
    <w:p w14:paraId="78B0D3DC" w14:textId="77777777" w:rsidR="00FD3628" w:rsidRDefault="007720E0" w:rsidP="00F154C2">
      <w:pPr>
        <w:pStyle w:val="ListParagraph"/>
        <w:numPr>
          <w:ilvl w:val="1"/>
          <w:numId w:val="2"/>
        </w:numPr>
        <w:spacing w:after="0"/>
        <w:ind w:left="463" w:hanging="425"/>
      </w:pPr>
      <w:r>
        <w:rPr>
          <w:b/>
        </w:rPr>
        <w:br w:type="page"/>
      </w:r>
    </w:p>
    <w:p w14:paraId="32BC9948" w14:textId="77777777" w:rsidR="0030345E" w:rsidRDefault="00F154C2" w:rsidP="00911D98">
      <w:pPr>
        <w:pStyle w:val="Heading2"/>
        <w:numPr>
          <w:ilvl w:val="0"/>
          <w:numId w:val="2"/>
        </w:numPr>
      </w:pPr>
      <w:bookmarkStart w:id="15" w:name="_Toc7006434"/>
      <w:r>
        <w:lastRenderedPageBreak/>
        <w:t>Accreditation Action Plan</w:t>
      </w:r>
      <w:bookmarkEnd w:id="15"/>
    </w:p>
    <w:p w14:paraId="08512A77" w14:textId="77777777" w:rsidR="00A314B3" w:rsidRDefault="007D70E0" w:rsidP="00725C28">
      <w:r>
        <w:t xml:space="preserve">The </w:t>
      </w:r>
      <w:r w:rsidR="00063BC4">
        <w:t>Accreditation Action Plan</w:t>
      </w:r>
      <w:r w:rsidR="00F154C2">
        <w:t xml:space="preserve"> </w:t>
      </w:r>
      <w:r>
        <w:t xml:space="preserve">section of the </w:t>
      </w:r>
      <w:r w:rsidR="00063BC4">
        <w:t>Accreditation Details Form</w:t>
      </w:r>
      <w:r>
        <w:t xml:space="preserve"> allows a user to identify actions that could be completed to further </w:t>
      </w:r>
      <w:r w:rsidR="00F154C2">
        <w:t xml:space="preserve">comply with the requirements of the </w:t>
      </w:r>
      <w:r w:rsidR="008527A3">
        <w:t>Standard</w:t>
      </w:r>
      <w:r w:rsidR="00F154C2">
        <w:t xml:space="preserve">. </w:t>
      </w:r>
      <w:r>
        <w:t xml:space="preserve"> </w:t>
      </w:r>
      <w:r w:rsidR="00C1771F">
        <w:t>Where applicable, t</w:t>
      </w:r>
      <w:r w:rsidR="00725C28" w:rsidRPr="007D70E0">
        <w:t xml:space="preserve">he </w:t>
      </w:r>
      <w:r w:rsidR="00F154C2">
        <w:t>accreditation action tasks</w:t>
      </w:r>
      <w:r w:rsidR="00725C28" w:rsidRPr="007D70E0">
        <w:t xml:space="preserve"> are </w:t>
      </w:r>
      <w:r w:rsidR="00A314B3">
        <w:t>added</w:t>
      </w:r>
      <w:r w:rsidR="00C1771F">
        <w:t xml:space="preserve"> to the respective Assessment Details Form. </w:t>
      </w:r>
      <w:r w:rsidR="00725C28">
        <w:t xml:space="preserve"> </w:t>
      </w:r>
    </w:p>
    <w:p w14:paraId="2CD6B966" w14:textId="77777777" w:rsidR="00A314B3" w:rsidRDefault="00A314B3" w:rsidP="00725C28">
      <w:r>
        <w:t xml:space="preserve">Examples of </w:t>
      </w:r>
      <w:r w:rsidR="00C1771F">
        <w:t xml:space="preserve">further action that could be taken to improve compliance with a standard </w:t>
      </w:r>
      <w:r>
        <w:t>are:</w:t>
      </w:r>
    </w:p>
    <w:p w14:paraId="4493514D" w14:textId="77777777" w:rsidR="00725C28" w:rsidRPr="008527A3" w:rsidRDefault="00A314B3" w:rsidP="00A314B3">
      <w:pPr>
        <w:pStyle w:val="ListParagraph"/>
        <w:numPr>
          <w:ilvl w:val="0"/>
          <w:numId w:val="4"/>
        </w:numPr>
        <w:spacing w:after="60" w:line="240" w:lineRule="auto"/>
        <w:ind w:left="357" w:hanging="357"/>
        <w:contextualSpacing w:val="0"/>
        <w:jc w:val="both"/>
      </w:pPr>
      <w:r w:rsidRPr="008527A3">
        <w:t>Draft a procedure for responding to needle stick injuries</w:t>
      </w:r>
    </w:p>
    <w:p w14:paraId="62A2C93E" w14:textId="77777777" w:rsidR="00A314B3" w:rsidRPr="008527A3" w:rsidRDefault="00A314B3" w:rsidP="00A314B3">
      <w:pPr>
        <w:pStyle w:val="ListParagraph"/>
        <w:numPr>
          <w:ilvl w:val="0"/>
          <w:numId w:val="4"/>
        </w:numPr>
        <w:spacing w:after="60" w:line="240" w:lineRule="auto"/>
        <w:ind w:left="357" w:hanging="357"/>
        <w:contextualSpacing w:val="0"/>
        <w:jc w:val="both"/>
      </w:pPr>
      <w:r w:rsidRPr="008527A3">
        <w:t>Provide training to staff on the management of the exposure to blood and other body fluids and the requirement to report all instances on the Incident Register</w:t>
      </w:r>
    </w:p>
    <w:p w14:paraId="1A0F3A4D" w14:textId="77777777" w:rsidR="00A314B3" w:rsidRPr="008527A3" w:rsidRDefault="00A314B3" w:rsidP="00A314B3">
      <w:pPr>
        <w:pStyle w:val="ListParagraph"/>
        <w:numPr>
          <w:ilvl w:val="0"/>
          <w:numId w:val="4"/>
        </w:numPr>
        <w:spacing w:after="60" w:line="240" w:lineRule="auto"/>
        <w:ind w:left="357" w:hanging="357"/>
        <w:contextualSpacing w:val="0"/>
        <w:jc w:val="both"/>
      </w:pPr>
      <w:r w:rsidRPr="008527A3">
        <w:t xml:space="preserve">Conduct an internal audit of compliance with infection </w:t>
      </w:r>
      <w:r w:rsidR="008527A3" w:rsidRPr="008527A3">
        <w:t xml:space="preserve">prevention and </w:t>
      </w:r>
      <w:r w:rsidRPr="008527A3">
        <w:t>control procedures</w:t>
      </w:r>
    </w:p>
    <w:p w14:paraId="553C493A" w14:textId="77777777" w:rsidR="00A314B3" w:rsidRDefault="00A314B3" w:rsidP="00A314B3">
      <w:pPr>
        <w:spacing w:after="60" w:line="240" w:lineRule="auto"/>
        <w:jc w:val="both"/>
      </w:pPr>
    </w:p>
    <w:p w14:paraId="04D22B30" w14:textId="77777777" w:rsidR="00A314B3" w:rsidRDefault="00A314B3" w:rsidP="00A314B3">
      <w:pPr>
        <w:spacing w:after="60" w:line="240" w:lineRule="auto"/>
        <w:jc w:val="both"/>
      </w:pPr>
      <w:r>
        <w:t>When a</w:t>
      </w:r>
      <w:r w:rsidR="00C1771F">
        <w:t>n</w:t>
      </w:r>
      <w:r>
        <w:t xml:space="preserve"> </w:t>
      </w:r>
      <w:r w:rsidR="00F154C2">
        <w:t>accreditation action task</w:t>
      </w:r>
      <w:r>
        <w:t xml:space="preserve"> has been added to a</w:t>
      </w:r>
      <w:r w:rsidR="00C1771F">
        <w:t>n</w:t>
      </w:r>
      <w:r>
        <w:t xml:space="preserve"> </w:t>
      </w:r>
      <w:r w:rsidR="00F154C2">
        <w:t>Accreditation</w:t>
      </w:r>
      <w:r>
        <w:t xml:space="preserve"> Details Form, LOGIQC will advise</w:t>
      </w:r>
      <w:r w:rsidR="00C1771F">
        <w:t xml:space="preserve"> via email</w:t>
      </w:r>
      <w:r>
        <w:t xml:space="preserve"> the staff member assigned to complete the action</w:t>
      </w:r>
      <w:r w:rsidR="00882A92">
        <w:t xml:space="preserve">. If the </w:t>
      </w:r>
      <w:r w:rsidR="00F154C2">
        <w:t>accreditation</w:t>
      </w:r>
      <w:r w:rsidR="00882A92">
        <w:t xml:space="preserve"> action </w:t>
      </w:r>
      <w:r w:rsidR="00F154C2">
        <w:t xml:space="preserve">task </w:t>
      </w:r>
      <w:r w:rsidR="00882A92">
        <w:t xml:space="preserve">has not been signed off as completed by the due date, LOGIQC will send a reminder email, at a frequency set by the Administrator in system setup. </w:t>
      </w:r>
    </w:p>
    <w:p w14:paraId="0DCF803F" w14:textId="77777777" w:rsidR="00A314B3" w:rsidRDefault="00A314B3" w:rsidP="00A314B3">
      <w:pPr>
        <w:pStyle w:val="ListParagraph"/>
        <w:spacing w:after="60" w:line="240" w:lineRule="auto"/>
        <w:ind w:left="357"/>
        <w:contextualSpacing w:val="0"/>
        <w:jc w:val="both"/>
      </w:pPr>
    </w:p>
    <w:p w14:paraId="6C77A004" w14:textId="77777777" w:rsidR="007D70E0" w:rsidRDefault="007D70E0" w:rsidP="00911D98">
      <w:pPr>
        <w:pStyle w:val="ListParagraph"/>
        <w:numPr>
          <w:ilvl w:val="1"/>
          <w:numId w:val="2"/>
        </w:numPr>
        <w:ind w:left="788" w:hanging="431"/>
        <w:rPr>
          <w:b/>
        </w:rPr>
      </w:pPr>
      <w:r w:rsidRPr="007D70E0">
        <w:rPr>
          <w:b/>
        </w:rPr>
        <w:t xml:space="preserve">How to view </w:t>
      </w:r>
      <w:r w:rsidR="00F154C2">
        <w:rPr>
          <w:b/>
        </w:rPr>
        <w:t>accreditation action tasks</w:t>
      </w:r>
      <w:r w:rsidRPr="007D70E0">
        <w:rPr>
          <w:b/>
        </w:rPr>
        <w:t xml:space="preserve"> </w:t>
      </w:r>
    </w:p>
    <w:p w14:paraId="44429CF5" w14:textId="77777777" w:rsidR="00725C28" w:rsidRDefault="007D70E0" w:rsidP="00725C28">
      <w:pPr>
        <w:ind w:left="788"/>
      </w:pPr>
      <w:r w:rsidRPr="007D70E0">
        <w:t xml:space="preserve">The </w:t>
      </w:r>
      <w:r w:rsidR="00F154C2">
        <w:t>accreditation action tasks</w:t>
      </w:r>
      <w:r w:rsidRPr="007D70E0">
        <w:t xml:space="preserve"> </w:t>
      </w:r>
      <w:r w:rsidR="00882A92">
        <w:t>are</w:t>
      </w:r>
      <w:r w:rsidR="00C1771F">
        <w:t xml:space="preserve"> documented on the respective </w:t>
      </w:r>
      <w:r w:rsidR="00F154C2">
        <w:t>Accreditation</w:t>
      </w:r>
      <w:r w:rsidR="00A314B3">
        <w:t xml:space="preserve"> Details Form</w:t>
      </w:r>
      <w:r w:rsidRPr="007D70E0">
        <w:t>.</w:t>
      </w:r>
      <w:r w:rsidR="00725C28">
        <w:t xml:space="preserve"> </w:t>
      </w:r>
      <w:r w:rsidR="00725C28" w:rsidRPr="00725C28">
        <w:t xml:space="preserve">All </w:t>
      </w:r>
      <w:r w:rsidR="00F154C2">
        <w:t>accreditation action tasks</w:t>
      </w:r>
      <w:r w:rsidR="00725C28" w:rsidRPr="00725C28">
        <w:t xml:space="preserve"> will also be automatically listed on the </w:t>
      </w:r>
      <w:r w:rsidR="00F154C2" w:rsidRPr="00F154C2">
        <w:rPr>
          <w:b/>
        </w:rPr>
        <w:t>Accreditation Action Plan</w:t>
      </w:r>
      <w:r w:rsidR="00882A92" w:rsidRPr="00725C28">
        <w:t xml:space="preserve"> </w:t>
      </w:r>
      <w:r w:rsidR="00725C28" w:rsidRPr="00725C28">
        <w:t xml:space="preserve">tab </w:t>
      </w:r>
      <w:r w:rsidR="00F154C2">
        <w:t>within the Accreditation</w:t>
      </w:r>
      <w:r w:rsidR="00882A92" w:rsidRPr="00725C28">
        <w:t xml:space="preserve"> Module</w:t>
      </w:r>
      <w:r w:rsidR="00725C28">
        <w:t>. Th</w:t>
      </w:r>
      <w:r w:rsidR="00882A92">
        <w:t xml:space="preserve">e </w:t>
      </w:r>
      <w:r w:rsidR="008B30F4">
        <w:t>Accreditation</w:t>
      </w:r>
      <w:r w:rsidR="00882A92">
        <w:t xml:space="preserve"> Action Plan</w:t>
      </w:r>
      <w:r w:rsidR="00725C28">
        <w:t xml:space="preserve"> will display all action</w:t>
      </w:r>
      <w:r w:rsidR="008B30F4">
        <w:t xml:space="preserve"> tasks</w:t>
      </w:r>
      <w:r w:rsidR="00725C28">
        <w:t xml:space="preserve"> </w:t>
      </w:r>
      <w:r w:rsidR="00882A92">
        <w:t>relating</w:t>
      </w:r>
      <w:r w:rsidR="00725C28">
        <w:t xml:space="preserve"> to </w:t>
      </w:r>
      <w:r w:rsidR="00882A92">
        <w:t>each</w:t>
      </w:r>
      <w:r w:rsidR="00725C28">
        <w:t xml:space="preserve"> </w:t>
      </w:r>
      <w:r w:rsidR="008527A3">
        <w:t>Standard</w:t>
      </w:r>
      <w:r w:rsidR="00725C28">
        <w:t xml:space="preserve"> as well as information about the status, due date and </w:t>
      </w:r>
      <w:r w:rsidR="00882A92">
        <w:t xml:space="preserve">the staff member who is required to </w:t>
      </w:r>
      <w:r w:rsidR="00C1771F">
        <w:t>complete</w:t>
      </w:r>
      <w:r w:rsidR="00882A92">
        <w:t xml:space="preserve"> the action (</w:t>
      </w:r>
      <w:r w:rsidR="00C1771F">
        <w:t>A</w:t>
      </w:r>
      <w:r w:rsidR="00882A92">
        <w:t xml:space="preserve">ction </w:t>
      </w:r>
      <w:r w:rsidR="00C1771F">
        <w:t>O</w:t>
      </w:r>
      <w:r w:rsidR="00882A92">
        <w:t>fficer).</w:t>
      </w:r>
      <w:r w:rsidR="00725C28">
        <w:t xml:space="preserve">  </w:t>
      </w:r>
    </w:p>
    <w:p w14:paraId="4A8C453C" w14:textId="77777777" w:rsidR="00725C28" w:rsidRDefault="00725C28" w:rsidP="008B30F4">
      <w:pPr>
        <w:pStyle w:val="ListParagraph"/>
        <w:ind w:left="792"/>
      </w:pPr>
      <w:r>
        <w:t>To view a</w:t>
      </w:r>
      <w:r w:rsidR="008B30F4">
        <w:t xml:space="preserve">n accreditation </w:t>
      </w:r>
      <w:r>
        <w:t>action</w:t>
      </w:r>
      <w:r w:rsidR="008B30F4">
        <w:t xml:space="preserve"> task</w:t>
      </w:r>
      <w:r>
        <w:t xml:space="preserve">, click on the </w:t>
      </w:r>
      <w:r w:rsidR="008B30F4">
        <w:t xml:space="preserve">description of the task in the </w:t>
      </w:r>
      <w:r w:rsidR="00C1771F">
        <w:t>column titled “Actions”</w:t>
      </w:r>
      <w:r>
        <w:t>. This will take you to the</w:t>
      </w:r>
      <w:r w:rsidR="008B02A0">
        <w:t xml:space="preserve"> respective</w:t>
      </w:r>
      <w:r>
        <w:t xml:space="preserve"> </w:t>
      </w:r>
      <w:r w:rsidR="008B30F4">
        <w:t>Accreditation</w:t>
      </w:r>
      <w:r>
        <w:t xml:space="preserve"> </w:t>
      </w:r>
      <w:r w:rsidR="008B02A0">
        <w:t xml:space="preserve">Details Form </w:t>
      </w:r>
      <w:r>
        <w:t xml:space="preserve">that the action relates </w:t>
      </w:r>
      <w:proofErr w:type="gramStart"/>
      <w:r>
        <w:t>to</w:t>
      </w:r>
      <w:r w:rsidR="008B02A0">
        <w:t xml:space="preserve">, </w:t>
      </w:r>
      <w:r w:rsidR="00C1771F">
        <w:t>and</w:t>
      </w:r>
      <w:proofErr w:type="gramEnd"/>
      <w:r w:rsidR="00C1771F">
        <w:t xml:space="preserve"> will</w:t>
      </w:r>
      <w:r w:rsidR="008B02A0">
        <w:t xml:space="preserve"> provid</w:t>
      </w:r>
      <w:r w:rsidR="00C1771F">
        <w:t>e</w:t>
      </w:r>
      <w:r w:rsidR="008B02A0">
        <w:t xml:space="preserve"> a full context as to why th</w:t>
      </w:r>
      <w:r w:rsidR="00C1771F">
        <w:t>is action</w:t>
      </w:r>
      <w:r w:rsidR="008B02A0">
        <w:t xml:space="preserve"> is required.</w:t>
      </w:r>
    </w:p>
    <w:p w14:paraId="0248EDA9" w14:textId="77777777" w:rsidR="008B30F4" w:rsidRDefault="008B30F4" w:rsidP="008B30F4">
      <w:pPr>
        <w:pStyle w:val="ListParagraph"/>
        <w:ind w:left="792"/>
      </w:pPr>
    </w:p>
    <w:p w14:paraId="42D21E39" w14:textId="77777777" w:rsidR="00725C28" w:rsidRDefault="00725C28" w:rsidP="007D70E0">
      <w:pPr>
        <w:pStyle w:val="ListParagraph"/>
        <w:ind w:left="792"/>
      </w:pPr>
      <w:r>
        <w:rPr>
          <w:noProof/>
        </w:rPr>
        <w:drawing>
          <wp:inline distT="0" distB="0" distL="0" distR="0" wp14:anchorId="69D51C8E" wp14:editId="2FB56434">
            <wp:extent cx="6135187" cy="946223"/>
            <wp:effectExtent l="19050" t="19050" r="18415" b="2540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6135187" cy="946223"/>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11DE4289" w14:textId="77777777" w:rsidR="00725C28" w:rsidRPr="007D70E0" w:rsidRDefault="00725C28" w:rsidP="007D70E0">
      <w:pPr>
        <w:pStyle w:val="ListParagraph"/>
        <w:ind w:left="792"/>
      </w:pPr>
    </w:p>
    <w:p w14:paraId="16AB3360" w14:textId="77777777" w:rsidR="008B02A0" w:rsidRDefault="008B02A0">
      <w:pPr>
        <w:spacing w:after="200"/>
        <w:rPr>
          <w:b/>
        </w:rPr>
      </w:pPr>
      <w:r>
        <w:rPr>
          <w:b/>
        </w:rPr>
        <w:br w:type="page"/>
      </w:r>
    </w:p>
    <w:p w14:paraId="40DEA6CB" w14:textId="77777777" w:rsidR="007D70E0" w:rsidRDefault="007D70E0" w:rsidP="00911D98">
      <w:pPr>
        <w:pStyle w:val="ListParagraph"/>
        <w:numPr>
          <w:ilvl w:val="1"/>
          <w:numId w:val="2"/>
        </w:numPr>
        <w:ind w:left="788" w:hanging="431"/>
        <w:rPr>
          <w:b/>
        </w:rPr>
      </w:pPr>
      <w:r w:rsidRPr="007D70E0">
        <w:rPr>
          <w:b/>
        </w:rPr>
        <w:lastRenderedPageBreak/>
        <w:t xml:space="preserve">How to complete </w:t>
      </w:r>
      <w:r w:rsidR="008B30F4">
        <w:rPr>
          <w:b/>
        </w:rPr>
        <w:t>an accreditation action task</w:t>
      </w:r>
      <w:r w:rsidRPr="007D70E0">
        <w:rPr>
          <w:b/>
        </w:rPr>
        <w:t xml:space="preserve"> </w:t>
      </w:r>
    </w:p>
    <w:p w14:paraId="38B18713" w14:textId="77777777" w:rsidR="00CD3258" w:rsidRDefault="00725C28" w:rsidP="00CD3258">
      <w:pPr>
        <w:ind w:left="792"/>
      </w:pPr>
      <w:r>
        <w:t xml:space="preserve">Click on the </w:t>
      </w:r>
      <w:r w:rsidR="00C1771F">
        <w:t>title of the action task</w:t>
      </w:r>
      <w:r>
        <w:t>. The action tasks will display at the bottom of the details form.</w:t>
      </w:r>
      <w:r w:rsidR="00CD3258" w:rsidRPr="00CD3258">
        <w:t xml:space="preserve"> </w:t>
      </w:r>
    </w:p>
    <w:p w14:paraId="0D97A8C4" w14:textId="77777777" w:rsidR="008B30F4" w:rsidRPr="00CD3258" w:rsidRDefault="008B30F4" w:rsidP="008B30F4">
      <w:pPr>
        <w:ind w:left="792"/>
      </w:pPr>
      <w:r>
        <w:t>Cl</w:t>
      </w:r>
      <w:r w:rsidRPr="008B30F4">
        <w:t>ick on the description of the task in the column</w:t>
      </w:r>
      <w:r>
        <w:t xml:space="preserve"> </w:t>
      </w:r>
      <w:r w:rsidR="00C1771F">
        <w:t xml:space="preserve">titled “Action” from the </w:t>
      </w:r>
      <w:r w:rsidR="00063BC4">
        <w:t>Accreditation Action Plan</w:t>
      </w:r>
      <w:r>
        <w:t xml:space="preserve"> tab</w:t>
      </w:r>
      <w:r w:rsidRPr="008B30F4">
        <w:t xml:space="preserve">. </w:t>
      </w:r>
      <w:r>
        <w:t>The</w:t>
      </w:r>
      <w:r w:rsidR="00C1771F">
        <w:t xml:space="preserve"> Accreditation action plan appears on the bottom of the Accreditation Details Form. If you have been assigned this action you can also access this form from the link in the email that has been sent to you advising that you have been assigned this task. </w:t>
      </w:r>
      <w:r w:rsidRPr="00CD3258">
        <w:t xml:space="preserve"> </w:t>
      </w:r>
    </w:p>
    <w:p w14:paraId="0E3217E9" w14:textId="77777777" w:rsidR="00725C28" w:rsidRDefault="00725C28" w:rsidP="00725C28">
      <w:pPr>
        <w:ind w:left="792"/>
      </w:pPr>
      <w:r>
        <w:rPr>
          <w:noProof/>
        </w:rPr>
        <w:drawing>
          <wp:inline distT="0" distB="0" distL="0" distR="0" wp14:anchorId="5CD1F8F4" wp14:editId="7E488F37">
            <wp:extent cx="6127329" cy="838894"/>
            <wp:effectExtent l="19050" t="19050" r="26035" b="184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6127329" cy="838894"/>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32CBFBAB" w14:textId="77777777" w:rsidR="008B30F4" w:rsidRDefault="008B30F4" w:rsidP="008B30F4">
      <w:pPr>
        <w:spacing w:after="0"/>
        <w:ind w:left="792"/>
      </w:pPr>
    </w:p>
    <w:p w14:paraId="5682A789" w14:textId="77777777" w:rsidR="008B30F4" w:rsidRDefault="00C1771F" w:rsidP="00517E82">
      <w:pPr>
        <w:ind w:left="792"/>
      </w:pPr>
      <w:r>
        <w:t>When the action has be</w:t>
      </w:r>
      <w:r w:rsidR="00725C28" w:rsidRPr="00725C28">
        <w:t>en complete</w:t>
      </w:r>
      <w:r w:rsidR="00725C28">
        <w:t>d</w:t>
      </w:r>
      <w:r w:rsidR="00725C28" w:rsidRPr="00725C28">
        <w:t xml:space="preserve">, </w:t>
      </w:r>
      <w:r w:rsidR="008B02A0">
        <w:t>change the status of the task to “Action Completed”</w:t>
      </w:r>
      <w:r w:rsidR="00517E82">
        <w:t>, if applicable</w:t>
      </w:r>
      <w:r w:rsidR="008B02A0">
        <w:t xml:space="preserve">. </w:t>
      </w:r>
    </w:p>
    <w:p w14:paraId="6D62197E" w14:textId="77777777" w:rsidR="008B30F4" w:rsidRDefault="009A5A0E" w:rsidP="009A5A0E">
      <w:pPr>
        <w:ind w:left="792"/>
      </w:pPr>
      <w:r>
        <w:t xml:space="preserve">In completing the task, if evidence has been added to a LOGIQC Register, </w:t>
      </w:r>
      <w:proofErr w:type="spellStart"/>
      <w:r>
        <w:t>eg.</w:t>
      </w:r>
      <w:proofErr w:type="spellEnd"/>
      <w:r>
        <w:t xml:space="preserve"> a</w:t>
      </w:r>
      <w:r w:rsidRPr="008527A3">
        <w:t xml:space="preserve"> procedure for responding to needle stick injuries</w:t>
      </w:r>
      <w:r>
        <w:t xml:space="preserve"> has been added to the Document Register </w:t>
      </w:r>
      <w:r w:rsidRPr="009A5A0E">
        <w:rPr>
          <w:u w:val="single"/>
        </w:rPr>
        <w:t>and it has been approved</w:t>
      </w:r>
      <w:r>
        <w:t xml:space="preserve">, you can </w:t>
      </w:r>
      <w:r w:rsidR="00725C28" w:rsidRPr="00725C28">
        <w:t>link</w:t>
      </w:r>
      <w:r w:rsidR="008B02A0">
        <w:t xml:space="preserve"> </w:t>
      </w:r>
      <w:r w:rsidR="00725C28" w:rsidRPr="00725C28">
        <w:t>the</w:t>
      </w:r>
      <w:r w:rsidR="008B02A0">
        <w:t xml:space="preserve"> relevant evidence to the </w:t>
      </w:r>
      <w:r>
        <w:t>Standard by clicking on the filed titled “Documents” and selecting the respective document from the list of documents.</w:t>
      </w:r>
    </w:p>
    <w:p w14:paraId="6778F819" w14:textId="77777777" w:rsidR="008B30F4" w:rsidRDefault="008B30F4" w:rsidP="00D52092">
      <w:pPr>
        <w:pStyle w:val="ListParagraph"/>
        <w:numPr>
          <w:ilvl w:val="3"/>
          <w:numId w:val="2"/>
        </w:numPr>
        <w:ind w:left="1418" w:hanging="338"/>
      </w:pPr>
      <w:r>
        <w:t xml:space="preserve">Click edit on the relevant </w:t>
      </w:r>
      <w:r w:rsidR="009A5A0E">
        <w:t>Assessment Details Form</w:t>
      </w:r>
      <w:r>
        <w:t xml:space="preserve">. </w:t>
      </w:r>
    </w:p>
    <w:p w14:paraId="26D2C4B4" w14:textId="77777777" w:rsidR="00D52092" w:rsidRPr="00D52092" w:rsidRDefault="00D52092" w:rsidP="00D52092">
      <w:pPr>
        <w:pStyle w:val="ListParagraph"/>
        <w:ind w:left="1224"/>
        <w:rPr>
          <w:sz w:val="6"/>
        </w:rPr>
      </w:pPr>
    </w:p>
    <w:p w14:paraId="7ED0FD43" w14:textId="77777777" w:rsidR="008B30F4" w:rsidRDefault="008B30F4" w:rsidP="00D52092">
      <w:pPr>
        <w:pStyle w:val="ListParagraph"/>
        <w:spacing w:before="240"/>
        <w:ind w:left="1440"/>
      </w:pPr>
      <w:r>
        <w:rPr>
          <w:noProof/>
        </w:rPr>
        <w:drawing>
          <wp:inline distT="0" distB="0" distL="0" distR="0" wp14:anchorId="40AB245F" wp14:editId="009F1FDD">
            <wp:extent cx="5493224" cy="998291"/>
            <wp:effectExtent l="19050" t="19050" r="12700" b="1143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08982" cy="1019328"/>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3290E54F" w14:textId="77777777" w:rsidR="008B30F4" w:rsidRDefault="008B30F4" w:rsidP="00D52092">
      <w:pPr>
        <w:pStyle w:val="ListParagraph"/>
        <w:numPr>
          <w:ilvl w:val="3"/>
          <w:numId w:val="2"/>
        </w:numPr>
        <w:ind w:left="1418" w:hanging="338"/>
      </w:pPr>
      <w:r>
        <w:t xml:space="preserve">Then select the document in the “Document” field under the Evidence and examples section. Click Save. </w:t>
      </w:r>
    </w:p>
    <w:p w14:paraId="7BB9C5D0" w14:textId="77777777" w:rsidR="008B02A0" w:rsidRDefault="008B30F4" w:rsidP="00D52092">
      <w:pPr>
        <w:ind w:left="1440"/>
      </w:pPr>
      <w:r>
        <w:rPr>
          <w:noProof/>
        </w:rPr>
        <w:drawing>
          <wp:inline distT="0" distB="0" distL="0" distR="0" wp14:anchorId="73962278" wp14:editId="61B556D8">
            <wp:extent cx="2920621" cy="910392"/>
            <wp:effectExtent l="19050" t="19050" r="13335" b="2349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927968" cy="912682"/>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20E6ACA8" w14:textId="77777777" w:rsidR="008B02A0" w:rsidRPr="00CD3258" w:rsidRDefault="008B02A0" w:rsidP="00CD3258">
      <w:pPr>
        <w:ind w:left="792"/>
      </w:pPr>
    </w:p>
    <w:p w14:paraId="4C7A78AE" w14:textId="77777777" w:rsidR="0030345E" w:rsidRDefault="0030345E" w:rsidP="00911D98">
      <w:pPr>
        <w:pStyle w:val="ListParagraph"/>
        <w:numPr>
          <w:ilvl w:val="1"/>
          <w:numId w:val="2"/>
        </w:numPr>
        <w:ind w:left="788" w:hanging="431"/>
        <w:rPr>
          <w:b/>
        </w:rPr>
      </w:pPr>
      <w:r w:rsidRPr="007D70E0">
        <w:rPr>
          <w:b/>
        </w:rPr>
        <w:t>How to approve</w:t>
      </w:r>
      <w:r w:rsidR="00D52092">
        <w:rPr>
          <w:b/>
        </w:rPr>
        <w:t xml:space="preserve"> or close</w:t>
      </w:r>
      <w:r w:rsidRPr="007D70E0">
        <w:rPr>
          <w:b/>
        </w:rPr>
        <w:t xml:space="preserve"> </w:t>
      </w:r>
      <w:r w:rsidR="00D52092">
        <w:rPr>
          <w:b/>
        </w:rPr>
        <w:t xml:space="preserve">accreditation action tasks </w:t>
      </w:r>
    </w:p>
    <w:p w14:paraId="11748846" w14:textId="77777777" w:rsidR="00D52092" w:rsidRDefault="00CD3258" w:rsidP="00225A64">
      <w:pPr>
        <w:ind w:left="792"/>
      </w:pPr>
      <w:r>
        <w:t xml:space="preserve">The </w:t>
      </w:r>
      <w:r w:rsidR="00D52092">
        <w:t>Quality</w:t>
      </w:r>
      <w:r w:rsidR="00517E82">
        <w:t xml:space="preserve"> Manager </w:t>
      </w:r>
      <w:r w:rsidR="009A5A0E">
        <w:t xml:space="preserve">who has been assigned to manage the </w:t>
      </w:r>
      <w:r w:rsidR="008527A3">
        <w:t>Standard</w:t>
      </w:r>
      <w:r w:rsidR="00517E82">
        <w:t xml:space="preserve"> is responsible for </w:t>
      </w:r>
      <w:r>
        <w:t>ensur</w:t>
      </w:r>
      <w:r w:rsidR="00517E82">
        <w:t xml:space="preserve">ing all </w:t>
      </w:r>
      <w:r w:rsidR="00D52092">
        <w:t>accreditation</w:t>
      </w:r>
      <w:r w:rsidR="00517E82">
        <w:t xml:space="preserve"> action</w:t>
      </w:r>
      <w:r w:rsidR="00D52092">
        <w:t xml:space="preserve"> tasks </w:t>
      </w:r>
      <w:r w:rsidR="00517E82">
        <w:t xml:space="preserve">associated with </w:t>
      </w:r>
      <w:r w:rsidR="00D52092">
        <w:t xml:space="preserve">the </w:t>
      </w:r>
      <w:r w:rsidR="00063BC4">
        <w:t>Accreditation Details Form</w:t>
      </w:r>
      <w:r w:rsidR="00D52092">
        <w:t>s</w:t>
      </w:r>
      <w:r w:rsidR="00517E82">
        <w:t xml:space="preserve"> have been completed to the satisfaction of the organisation and within required timeframes. </w:t>
      </w:r>
    </w:p>
    <w:p w14:paraId="3E9CAFD5" w14:textId="77777777" w:rsidR="007D70E0" w:rsidRPr="00225A64" w:rsidRDefault="00517E82" w:rsidP="00225A64">
      <w:pPr>
        <w:ind w:left="792"/>
      </w:pPr>
      <w:r>
        <w:t xml:space="preserve">Following the completion of </w:t>
      </w:r>
      <w:r w:rsidR="00D52092">
        <w:t>accreditation</w:t>
      </w:r>
      <w:r>
        <w:t xml:space="preserve"> </w:t>
      </w:r>
      <w:r w:rsidR="00D52092">
        <w:t>actions,</w:t>
      </w:r>
      <w:r>
        <w:t xml:space="preserve"> they are also responsible for ensuring the description of </w:t>
      </w:r>
      <w:r w:rsidR="00D52092">
        <w:t>“How the requirements are met” field</w:t>
      </w:r>
      <w:r>
        <w:t xml:space="preserve"> and the </w:t>
      </w:r>
      <w:r w:rsidR="00D52092">
        <w:t xml:space="preserve">linked evidence </w:t>
      </w:r>
      <w:r>
        <w:t xml:space="preserve">are accurately reflected on the </w:t>
      </w:r>
      <w:r w:rsidR="00063BC4">
        <w:t>Accreditation Details Form</w:t>
      </w:r>
      <w:r>
        <w:t xml:space="preserve">. While this is also a part of their responsibilities when reviewing the </w:t>
      </w:r>
      <w:r w:rsidR="008527A3">
        <w:t>Standard</w:t>
      </w:r>
      <w:r w:rsidR="00D52092">
        <w:t xml:space="preserve"> requirements</w:t>
      </w:r>
      <w:r>
        <w:t>,</w:t>
      </w:r>
      <w:r w:rsidR="00225A64">
        <w:t xml:space="preserve"> </w:t>
      </w:r>
      <w:r>
        <w:t xml:space="preserve">the </w:t>
      </w:r>
      <w:r w:rsidR="00D52092">
        <w:t>Accreditation</w:t>
      </w:r>
      <w:r>
        <w:t xml:space="preserve"> Details Form, can be updated by the respective </w:t>
      </w:r>
      <w:r w:rsidR="00BB19A2">
        <w:t>Quality Manager</w:t>
      </w:r>
      <w:r>
        <w:t xml:space="preserve"> at any time. </w:t>
      </w:r>
    </w:p>
    <w:p w14:paraId="1C126662" w14:textId="77777777" w:rsidR="00225A64" w:rsidRDefault="00225A64">
      <w:pPr>
        <w:spacing w:after="200"/>
        <w:rPr>
          <w:rFonts w:asciiTheme="minorHAnsi" w:eastAsiaTheme="majorEastAsia" w:hAnsiTheme="minorHAnsi" w:cstheme="majorBidi"/>
          <w:b/>
          <w:bCs/>
          <w:sz w:val="22"/>
          <w:szCs w:val="26"/>
        </w:rPr>
      </w:pPr>
      <w:r>
        <w:br w:type="page"/>
      </w:r>
    </w:p>
    <w:p w14:paraId="08EE7594" w14:textId="77777777" w:rsidR="0030345E" w:rsidRDefault="00D52092" w:rsidP="00911D98">
      <w:pPr>
        <w:pStyle w:val="Heading2"/>
        <w:numPr>
          <w:ilvl w:val="0"/>
          <w:numId w:val="2"/>
        </w:numPr>
      </w:pPr>
      <w:bookmarkStart w:id="16" w:name="_Toc7006435"/>
      <w:r>
        <w:lastRenderedPageBreak/>
        <w:t>Evidence Report</w:t>
      </w:r>
      <w:bookmarkEnd w:id="16"/>
      <w:r>
        <w:t xml:space="preserve"> </w:t>
      </w:r>
    </w:p>
    <w:p w14:paraId="3F21562E" w14:textId="77777777" w:rsidR="00225A64" w:rsidRDefault="00D17207" w:rsidP="00D17207">
      <w:r>
        <w:t xml:space="preserve">The </w:t>
      </w:r>
      <w:r w:rsidR="009A5A0E">
        <w:t>Evidence Report</w:t>
      </w:r>
      <w:r>
        <w:t xml:space="preserve"> tab will provide an interactive </w:t>
      </w:r>
      <w:r w:rsidR="00225A64">
        <w:t>“</w:t>
      </w:r>
      <w:r w:rsidR="009A5A0E">
        <w:t>Evidence Report</w:t>
      </w:r>
      <w:r w:rsidR="00225A64">
        <w:t>” for each</w:t>
      </w:r>
      <w:r w:rsidR="000C4F62">
        <w:t xml:space="preserve"> </w:t>
      </w:r>
      <w:r w:rsidR="00D52092">
        <w:t xml:space="preserve">assessment </w:t>
      </w:r>
      <w:r w:rsidR="009A5A0E">
        <w:t xml:space="preserve">item for the respective </w:t>
      </w:r>
      <w:r w:rsidR="008527A3">
        <w:t>Standard</w:t>
      </w:r>
      <w:r w:rsidR="00D52092">
        <w:t xml:space="preserve"> in the </w:t>
      </w:r>
      <w:r w:rsidR="009A5A0E">
        <w:t>Accreditation Module</w:t>
      </w:r>
      <w:r w:rsidR="00363A2D">
        <w:t>.</w:t>
      </w:r>
    </w:p>
    <w:p w14:paraId="7CF3EB03" w14:textId="77777777" w:rsidR="00D17207" w:rsidRDefault="00225A64" w:rsidP="00D17207">
      <w:pPr>
        <w:rPr>
          <w:lang w:eastAsia="en-AU"/>
        </w:rPr>
      </w:pPr>
      <w:r>
        <w:rPr>
          <w:noProof/>
        </w:rPr>
        <w:drawing>
          <wp:inline distT="0" distB="0" distL="0" distR="0" wp14:anchorId="04D18E97" wp14:editId="7657DC77">
            <wp:extent cx="6645910" cy="998265"/>
            <wp:effectExtent l="19050" t="19050" r="2159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6645910" cy="998265"/>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348BDD28" w14:textId="77777777" w:rsidR="009A5A0E" w:rsidRDefault="009A5A0E" w:rsidP="00D17207">
      <w:pPr>
        <w:rPr>
          <w:lang w:eastAsia="en-AU"/>
        </w:rPr>
      </w:pPr>
    </w:p>
    <w:p w14:paraId="74B0262A" w14:textId="77777777" w:rsidR="00117323" w:rsidRDefault="00117323" w:rsidP="00911D98">
      <w:pPr>
        <w:pStyle w:val="ListParagraph"/>
        <w:numPr>
          <w:ilvl w:val="1"/>
          <w:numId w:val="2"/>
        </w:numPr>
        <w:rPr>
          <w:b/>
        </w:rPr>
      </w:pPr>
      <w:r w:rsidRPr="007D70E0">
        <w:rPr>
          <w:b/>
        </w:rPr>
        <w:t xml:space="preserve">How to view </w:t>
      </w:r>
      <w:r>
        <w:rPr>
          <w:b/>
        </w:rPr>
        <w:t xml:space="preserve">the </w:t>
      </w:r>
      <w:r w:rsidR="00363A2D">
        <w:rPr>
          <w:b/>
        </w:rPr>
        <w:t xml:space="preserve">accreditation </w:t>
      </w:r>
      <w:r w:rsidR="009A5A0E">
        <w:rPr>
          <w:b/>
        </w:rPr>
        <w:t>Evidence Report</w:t>
      </w:r>
      <w:r w:rsidRPr="007D70E0">
        <w:rPr>
          <w:b/>
        </w:rPr>
        <w:t xml:space="preserve"> </w:t>
      </w:r>
    </w:p>
    <w:p w14:paraId="24B502E9" w14:textId="77777777" w:rsidR="00363A2D" w:rsidRDefault="00117323" w:rsidP="009D1DA8">
      <w:pPr>
        <w:ind w:left="360"/>
        <w:rPr>
          <w:lang w:eastAsia="en-AU"/>
        </w:rPr>
      </w:pPr>
      <w:r>
        <w:rPr>
          <w:lang w:eastAsia="en-AU"/>
        </w:rPr>
        <w:t xml:space="preserve">To support the </w:t>
      </w:r>
      <w:r w:rsidR="00363A2D">
        <w:rPr>
          <w:lang w:eastAsia="en-AU"/>
        </w:rPr>
        <w:t xml:space="preserve">assessment of meeting the </w:t>
      </w:r>
      <w:r w:rsidR="008527A3">
        <w:rPr>
          <w:lang w:eastAsia="en-AU"/>
        </w:rPr>
        <w:t>Standard</w:t>
      </w:r>
      <w:r>
        <w:rPr>
          <w:lang w:eastAsia="en-AU"/>
        </w:rPr>
        <w:t>, t</w:t>
      </w:r>
      <w:r w:rsidR="00225A64">
        <w:rPr>
          <w:lang w:eastAsia="en-AU"/>
        </w:rPr>
        <w:t xml:space="preserve">he </w:t>
      </w:r>
      <w:r w:rsidR="009A5A0E">
        <w:rPr>
          <w:lang w:eastAsia="en-AU"/>
        </w:rPr>
        <w:t>Evidence Report</w:t>
      </w:r>
      <w:r w:rsidR="00225A64">
        <w:rPr>
          <w:lang w:eastAsia="en-AU"/>
        </w:rPr>
        <w:t xml:space="preserve"> </w:t>
      </w:r>
      <w:r w:rsidR="00363A2D">
        <w:t>commences with a description of “How the requirements are met</w:t>
      </w:r>
      <w:r w:rsidR="00363A2D">
        <w:rPr>
          <w:lang w:eastAsia="en-AU"/>
        </w:rPr>
        <w:t xml:space="preserve">” then </w:t>
      </w:r>
      <w:r w:rsidR="00225A64">
        <w:rPr>
          <w:lang w:eastAsia="en-AU"/>
        </w:rPr>
        <w:t xml:space="preserve">details the status of the </w:t>
      </w:r>
      <w:r w:rsidR="00363A2D">
        <w:rPr>
          <w:lang w:eastAsia="en-AU"/>
        </w:rPr>
        <w:t>evidence and examples t</w:t>
      </w:r>
      <w:r w:rsidR="00225A64">
        <w:rPr>
          <w:lang w:eastAsia="en-AU"/>
        </w:rPr>
        <w:t xml:space="preserve">hat </w:t>
      </w:r>
      <w:r w:rsidR="009A5A0E">
        <w:rPr>
          <w:lang w:eastAsia="en-AU"/>
        </w:rPr>
        <w:t>have been</w:t>
      </w:r>
      <w:r w:rsidR="00225A64">
        <w:rPr>
          <w:lang w:eastAsia="en-AU"/>
        </w:rPr>
        <w:t xml:space="preserve"> linked to the</w:t>
      </w:r>
      <w:r w:rsidR="00B90F59">
        <w:rPr>
          <w:lang w:eastAsia="en-AU"/>
        </w:rPr>
        <w:t xml:space="preserve"> respective</w:t>
      </w:r>
      <w:r w:rsidR="00225A64">
        <w:rPr>
          <w:lang w:eastAsia="en-AU"/>
        </w:rPr>
        <w:t xml:space="preserve"> </w:t>
      </w:r>
      <w:r w:rsidR="009A5A0E">
        <w:rPr>
          <w:lang w:eastAsia="en-AU"/>
        </w:rPr>
        <w:t>Assessment Details Form</w:t>
      </w:r>
      <w:r w:rsidR="00225A64">
        <w:rPr>
          <w:lang w:eastAsia="en-AU"/>
        </w:rPr>
        <w:t xml:space="preserve">. </w:t>
      </w:r>
    </w:p>
    <w:p w14:paraId="4F3D5C9E" w14:textId="77777777" w:rsidR="00225A64" w:rsidRDefault="00225A64" w:rsidP="009D1DA8">
      <w:pPr>
        <w:ind w:left="360"/>
      </w:pPr>
      <w:r>
        <w:rPr>
          <w:noProof/>
        </w:rPr>
        <w:drawing>
          <wp:inline distT="0" distB="0" distL="0" distR="0" wp14:anchorId="23B1C87A" wp14:editId="7664C4E9">
            <wp:extent cx="6392144" cy="3473188"/>
            <wp:effectExtent l="19050" t="19050" r="27940" b="133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6392144" cy="3473188"/>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0016E72E" w14:textId="77777777" w:rsidR="009A5A0E" w:rsidRDefault="009A5A0E" w:rsidP="00363A2D">
      <w:pPr>
        <w:ind w:left="360"/>
        <w:rPr>
          <w:b/>
          <w:lang w:eastAsia="en-AU"/>
        </w:rPr>
      </w:pPr>
    </w:p>
    <w:p w14:paraId="09AF71A8" w14:textId="77777777" w:rsidR="00363A2D" w:rsidRDefault="00363A2D" w:rsidP="00363A2D">
      <w:pPr>
        <w:ind w:left="360"/>
        <w:rPr>
          <w:lang w:eastAsia="en-AU"/>
        </w:rPr>
      </w:pPr>
      <w:r>
        <w:rPr>
          <w:b/>
          <w:lang w:eastAsia="en-AU"/>
        </w:rPr>
        <w:t>Note:</w:t>
      </w:r>
      <w:r>
        <w:rPr>
          <w:lang w:eastAsia="en-AU"/>
        </w:rPr>
        <w:t xml:space="preserve"> In reviewing the </w:t>
      </w:r>
      <w:r w:rsidR="009A5A0E">
        <w:rPr>
          <w:lang w:eastAsia="en-AU"/>
        </w:rPr>
        <w:t>Evidence Report</w:t>
      </w:r>
      <w:r>
        <w:rPr>
          <w:lang w:eastAsia="en-AU"/>
        </w:rPr>
        <w:t>, you have the option to modify the number of days the review relates to, from 30 days to Four years by adjusting the “</w:t>
      </w:r>
      <w:r>
        <w:rPr>
          <w:b/>
          <w:lang w:eastAsia="en-AU"/>
        </w:rPr>
        <w:t>See last &amp; next</w:t>
      </w:r>
      <w:r>
        <w:rPr>
          <w:lang w:eastAsia="en-AU"/>
        </w:rPr>
        <w:t>” drop down field.</w:t>
      </w:r>
    </w:p>
    <w:p w14:paraId="2AA7F860" w14:textId="77777777" w:rsidR="00363A2D" w:rsidRPr="00D17207" w:rsidRDefault="00363A2D" w:rsidP="00363A2D">
      <w:pPr>
        <w:ind w:left="360"/>
        <w:rPr>
          <w:lang w:eastAsia="en-AU"/>
        </w:rPr>
      </w:pPr>
      <w:r>
        <w:rPr>
          <w:noProof/>
        </w:rPr>
        <w:drawing>
          <wp:inline distT="0" distB="0" distL="0" distR="0" wp14:anchorId="12E3219F" wp14:editId="2E8D97B8">
            <wp:extent cx="1883391" cy="1523476"/>
            <wp:effectExtent l="19050" t="19050" r="22225" b="1968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bwMode="auto">
                    <a:xfrm>
                      <a:off x="0" y="0"/>
                      <a:ext cx="1889454" cy="152838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8F040CE" w14:textId="77777777" w:rsidR="00B90F59" w:rsidRDefault="00B90F59">
      <w:pPr>
        <w:spacing w:after="200"/>
        <w:rPr>
          <w:lang w:eastAsia="en-AU"/>
        </w:rPr>
      </w:pPr>
      <w:r>
        <w:rPr>
          <w:lang w:eastAsia="en-AU"/>
        </w:rPr>
        <w:br w:type="page"/>
      </w:r>
    </w:p>
    <w:p w14:paraId="03F2DC82" w14:textId="77777777" w:rsidR="000F3D53" w:rsidRDefault="000F3D53" w:rsidP="009D1DA8">
      <w:pPr>
        <w:pStyle w:val="ListParagraph"/>
        <w:ind w:left="360"/>
        <w:rPr>
          <w:lang w:eastAsia="en-AU"/>
        </w:rPr>
      </w:pPr>
      <w:r>
        <w:rPr>
          <w:lang w:eastAsia="en-AU"/>
        </w:rPr>
        <w:lastRenderedPageBreak/>
        <w:t xml:space="preserve">This </w:t>
      </w:r>
      <w:r w:rsidR="009A5A0E">
        <w:t>Evidence Report</w:t>
      </w:r>
      <w:r>
        <w:rPr>
          <w:lang w:eastAsia="en-AU"/>
        </w:rPr>
        <w:t xml:space="preserve"> provides details of the status of all items in the QMS that have been linked on the </w:t>
      </w:r>
      <w:r w:rsidR="00BB19A2">
        <w:rPr>
          <w:lang w:eastAsia="en-AU"/>
        </w:rPr>
        <w:t>Assessment Details Form</w:t>
      </w:r>
      <w:r>
        <w:rPr>
          <w:lang w:eastAsia="en-AU"/>
        </w:rPr>
        <w:t>. In the following example, information is provided on a task relating to calibrating the equipment and indicates that the latest task was completed, while 3 times the task was missed</w:t>
      </w:r>
      <w:r w:rsidR="00BB19A2">
        <w:rPr>
          <w:lang w:eastAsia="en-AU"/>
        </w:rPr>
        <w:t xml:space="preserve">. It </w:t>
      </w:r>
      <w:r>
        <w:rPr>
          <w:lang w:eastAsia="en-AU"/>
        </w:rPr>
        <w:t xml:space="preserve">also </w:t>
      </w:r>
      <w:r w:rsidR="00BB19A2">
        <w:rPr>
          <w:lang w:eastAsia="en-AU"/>
        </w:rPr>
        <w:t xml:space="preserve">indicates that the task is </w:t>
      </w:r>
      <w:r>
        <w:rPr>
          <w:lang w:eastAsia="en-AU"/>
        </w:rPr>
        <w:t xml:space="preserve">scheduled to occur again in the following </w:t>
      </w:r>
      <w:proofErr w:type="gramStart"/>
      <w:r>
        <w:rPr>
          <w:lang w:eastAsia="en-AU"/>
        </w:rPr>
        <w:t>365 day</w:t>
      </w:r>
      <w:proofErr w:type="gramEnd"/>
      <w:r>
        <w:rPr>
          <w:lang w:eastAsia="en-AU"/>
        </w:rPr>
        <w:t xml:space="preserve"> period. </w:t>
      </w:r>
    </w:p>
    <w:p w14:paraId="17020726" w14:textId="77777777" w:rsidR="000F3D53" w:rsidRDefault="000F3D53" w:rsidP="000F3D53">
      <w:pPr>
        <w:pStyle w:val="ListParagraph"/>
        <w:ind w:left="360"/>
        <w:rPr>
          <w:lang w:eastAsia="en-AU"/>
        </w:rPr>
      </w:pPr>
    </w:p>
    <w:p w14:paraId="43D8FED1" w14:textId="77777777" w:rsidR="000F3D53" w:rsidRDefault="000F3D53" w:rsidP="009D1DA8">
      <w:pPr>
        <w:pStyle w:val="ListParagraph"/>
        <w:ind w:left="360"/>
        <w:rPr>
          <w:lang w:eastAsia="en-AU"/>
        </w:rPr>
      </w:pPr>
      <w:r>
        <w:rPr>
          <w:noProof/>
        </w:rPr>
        <w:drawing>
          <wp:inline distT="0" distB="0" distL="0" distR="0" wp14:anchorId="09024836" wp14:editId="3798F557">
            <wp:extent cx="6275614" cy="1219626"/>
            <wp:effectExtent l="19050" t="19050" r="1143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332703" cy="1230721"/>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76B472BC" w14:textId="77777777" w:rsidR="000F3D53" w:rsidRPr="00117323" w:rsidRDefault="000F3D53" w:rsidP="000F3D53">
      <w:pPr>
        <w:pStyle w:val="ListParagraph"/>
        <w:ind w:left="360"/>
        <w:rPr>
          <w:b/>
        </w:rPr>
      </w:pPr>
    </w:p>
    <w:p w14:paraId="03A29C33" w14:textId="77777777" w:rsidR="007D70E0" w:rsidRDefault="007D70E0" w:rsidP="00911D98">
      <w:pPr>
        <w:pStyle w:val="ListParagraph"/>
        <w:numPr>
          <w:ilvl w:val="1"/>
          <w:numId w:val="2"/>
        </w:numPr>
        <w:rPr>
          <w:b/>
        </w:rPr>
      </w:pPr>
      <w:r>
        <w:rPr>
          <w:b/>
        </w:rPr>
        <w:t xml:space="preserve">How to drill through the </w:t>
      </w:r>
      <w:r w:rsidR="00363A2D">
        <w:rPr>
          <w:b/>
        </w:rPr>
        <w:t xml:space="preserve">accreditation </w:t>
      </w:r>
      <w:r w:rsidR="009A5A0E">
        <w:rPr>
          <w:b/>
        </w:rPr>
        <w:t>Evidence Report</w:t>
      </w:r>
    </w:p>
    <w:p w14:paraId="104EF46C" w14:textId="77777777" w:rsidR="00A034B5" w:rsidRDefault="00117323" w:rsidP="00BB19A2">
      <w:pPr>
        <w:pStyle w:val="ListParagraph"/>
        <w:ind w:left="360"/>
        <w:rPr>
          <w:lang w:eastAsia="en-AU"/>
        </w:rPr>
      </w:pPr>
      <w:r>
        <w:rPr>
          <w:lang w:eastAsia="en-AU"/>
        </w:rPr>
        <w:t xml:space="preserve">To view a </w:t>
      </w:r>
      <w:proofErr w:type="gramStart"/>
      <w:r>
        <w:rPr>
          <w:lang w:eastAsia="en-AU"/>
        </w:rPr>
        <w:t>particular item</w:t>
      </w:r>
      <w:proofErr w:type="gramEnd"/>
      <w:r>
        <w:rPr>
          <w:lang w:eastAsia="en-AU"/>
        </w:rPr>
        <w:t xml:space="preserve"> on the </w:t>
      </w:r>
      <w:r w:rsidR="00BB19A2">
        <w:rPr>
          <w:lang w:eastAsia="en-AU"/>
        </w:rPr>
        <w:t>A</w:t>
      </w:r>
      <w:r w:rsidR="00363A2D">
        <w:rPr>
          <w:lang w:eastAsia="en-AU"/>
        </w:rPr>
        <w:t xml:space="preserve">ccreditation </w:t>
      </w:r>
      <w:r w:rsidR="00BB19A2">
        <w:rPr>
          <w:lang w:eastAsia="en-AU"/>
        </w:rPr>
        <w:t>E</w:t>
      </w:r>
      <w:r w:rsidR="008527A3">
        <w:rPr>
          <w:lang w:eastAsia="en-AU"/>
        </w:rPr>
        <w:t>vidence</w:t>
      </w:r>
      <w:r w:rsidR="00BB19A2">
        <w:rPr>
          <w:lang w:eastAsia="en-AU"/>
        </w:rPr>
        <w:t xml:space="preserve"> Report</w:t>
      </w:r>
      <w:r>
        <w:rPr>
          <w:lang w:eastAsia="en-AU"/>
        </w:rPr>
        <w:t xml:space="preserve">, click on the ID# hyperlink to go directly to the task. You can then use the “back” button to return to the </w:t>
      </w:r>
      <w:r w:rsidR="009A5A0E">
        <w:rPr>
          <w:lang w:eastAsia="en-AU"/>
        </w:rPr>
        <w:t>Evidence Report</w:t>
      </w:r>
      <w:r w:rsidR="00363A2D">
        <w:rPr>
          <w:lang w:eastAsia="en-AU"/>
        </w:rPr>
        <w:t>. This allows you to view the full details of the evidence, such as the details of actions taken, the attached records or documentation and the history of the task</w:t>
      </w:r>
      <w:r w:rsidR="00BB19A2">
        <w:rPr>
          <w:lang w:eastAsia="en-AU"/>
        </w:rPr>
        <w:t xml:space="preserve"> of when the task was completed.</w:t>
      </w:r>
    </w:p>
    <w:p w14:paraId="400386EF" w14:textId="77777777" w:rsidR="00CF39C6" w:rsidRDefault="00FD3628" w:rsidP="00911D98">
      <w:pPr>
        <w:pStyle w:val="Heading2"/>
        <w:numPr>
          <w:ilvl w:val="0"/>
          <w:numId w:val="2"/>
        </w:numPr>
      </w:pPr>
      <w:bookmarkStart w:id="17" w:name="_Toc7006436"/>
      <w:r w:rsidRPr="002D4B63">
        <w:t xml:space="preserve">How to </w:t>
      </w:r>
      <w:r>
        <w:t xml:space="preserve">review an </w:t>
      </w:r>
      <w:r w:rsidR="00363A2D">
        <w:t>accreditation requirement</w:t>
      </w:r>
      <w:bookmarkEnd w:id="17"/>
    </w:p>
    <w:p w14:paraId="625C6566" w14:textId="77777777" w:rsidR="00117323" w:rsidRDefault="00117323" w:rsidP="00117323">
      <w:pPr>
        <w:ind w:left="360"/>
      </w:pPr>
      <w:r>
        <w:t>In reviewing a</w:t>
      </w:r>
      <w:r w:rsidR="00BB19A2">
        <w:t>n</w:t>
      </w:r>
      <w:r>
        <w:t xml:space="preserve"> </w:t>
      </w:r>
      <w:r w:rsidR="00363A2D">
        <w:t>accreditation requirement</w:t>
      </w:r>
      <w:r>
        <w:t>, the following steps are recommended:</w:t>
      </w:r>
    </w:p>
    <w:p w14:paraId="0DAAED73" w14:textId="77777777" w:rsidR="000F3D53" w:rsidRDefault="000F3D53" w:rsidP="000F3D53">
      <w:pPr>
        <w:ind w:left="720"/>
      </w:pPr>
      <w:r>
        <w:t xml:space="preserve">Refer to the </w:t>
      </w:r>
      <w:r w:rsidR="009A5A0E">
        <w:t>Evidence Report</w:t>
      </w:r>
      <w:r w:rsidR="00363A2D">
        <w:t xml:space="preserve"> for each of the assessment items within the </w:t>
      </w:r>
      <w:r w:rsidR="00063BC4">
        <w:t>Accreditation Details Form</w:t>
      </w:r>
      <w:r w:rsidR="00363A2D">
        <w:t xml:space="preserve">. </w:t>
      </w:r>
      <w:r>
        <w:t xml:space="preserve"> </w:t>
      </w:r>
    </w:p>
    <w:p w14:paraId="7163FDC3" w14:textId="77777777" w:rsidR="00117323" w:rsidRDefault="000F3D53" w:rsidP="000F3D53">
      <w:pPr>
        <w:pStyle w:val="ListParagraph"/>
        <w:numPr>
          <w:ilvl w:val="0"/>
          <w:numId w:val="8"/>
        </w:numPr>
      </w:pPr>
      <w:r>
        <w:t xml:space="preserve">Assess to what extent the </w:t>
      </w:r>
      <w:r w:rsidR="00363A2D">
        <w:t xml:space="preserve">evidence </w:t>
      </w:r>
      <w:r w:rsidR="00A034B5">
        <w:t>is compliant</w:t>
      </w:r>
      <w:r>
        <w:t xml:space="preserve"> based on the</w:t>
      </w:r>
      <w:r w:rsidR="00200EB4">
        <w:t xml:space="preserve"> </w:t>
      </w:r>
      <w:r>
        <w:t>status</w:t>
      </w:r>
    </w:p>
    <w:p w14:paraId="240B0965" w14:textId="77777777" w:rsidR="000F3D53" w:rsidRDefault="000F3D53" w:rsidP="000F3D53">
      <w:pPr>
        <w:pStyle w:val="ListParagraph"/>
        <w:numPr>
          <w:ilvl w:val="0"/>
          <w:numId w:val="8"/>
        </w:numPr>
      </w:pPr>
      <w:r>
        <w:t xml:space="preserve">Where </w:t>
      </w:r>
      <w:r w:rsidR="00A034B5">
        <w:t>reported items are linked</w:t>
      </w:r>
      <w:r>
        <w:t xml:space="preserve"> (incidents, feedback, non-conformances, repairs), open</w:t>
      </w:r>
      <w:r w:rsidR="00BB19A2">
        <w:t xml:space="preserve"> the</w:t>
      </w:r>
      <w:r>
        <w:t xml:space="preserve"> </w:t>
      </w:r>
      <w:r w:rsidR="00A034B5">
        <w:t>item</w:t>
      </w:r>
      <w:r>
        <w:t xml:space="preserve"> to gain an understanding of the organisation’s </w:t>
      </w:r>
      <w:r w:rsidR="00A034B5">
        <w:t>response and management of the item</w:t>
      </w:r>
    </w:p>
    <w:p w14:paraId="56741C5D" w14:textId="77777777" w:rsidR="000F3D53" w:rsidRDefault="000F3D53" w:rsidP="000F3D53">
      <w:pPr>
        <w:pStyle w:val="ListParagraph"/>
        <w:numPr>
          <w:ilvl w:val="0"/>
          <w:numId w:val="8"/>
        </w:numPr>
      </w:pPr>
      <w:r>
        <w:t xml:space="preserve">Review the status of the </w:t>
      </w:r>
      <w:r w:rsidR="00063BC4">
        <w:t>Accreditation Action Plan</w:t>
      </w:r>
      <w:r w:rsidR="00A034B5">
        <w:t xml:space="preserve"> tasks</w:t>
      </w:r>
    </w:p>
    <w:p w14:paraId="3F711039" w14:textId="77777777" w:rsidR="000F3D53" w:rsidRDefault="000F3D53" w:rsidP="000F3D53">
      <w:pPr>
        <w:ind w:left="720"/>
      </w:pPr>
      <w:r>
        <w:t xml:space="preserve">Based on the information gained through the review of the </w:t>
      </w:r>
      <w:r w:rsidR="009A5A0E">
        <w:t>Evidence Report</w:t>
      </w:r>
    </w:p>
    <w:p w14:paraId="6F883EE2" w14:textId="77777777" w:rsidR="000F3D53" w:rsidRDefault="000F3D53" w:rsidP="00063BC4">
      <w:pPr>
        <w:pStyle w:val="ListParagraph"/>
        <w:numPr>
          <w:ilvl w:val="0"/>
          <w:numId w:val="8"/>
        </w:numPr>
      </w:pPr>
      <w:r>
        <w:t xml:space="preserve">Review the </w:t>
      </w:r>
      <w:r w:rsidR="00A034B5">
        <w:t xml:space="preserve">individual </w:t>
      </w:r>
      <w:r w:rsidR="009A5A0E">
        <w:t>Assessment Details Form</w:t>
      </w:r>
      <w:r w:rsidR="00A034B5">
        <w:t>s to ensure they are</w:t>
      </w:r>
      <w:r>
        <w:t xml:space="preserve"> accurate and revise, if required</w:t>
      </w:r>
      <w:r w:rsidR="00A034B5">
        <w:t>. Specifically, r</w:t>
      </w:r>
      <w:r w:rsidR="00B34851">
        <w:t xml:space="preserve">eview the </w:t>
      </w:r>
      <w:r w:rsidR="00A034B5">
        <w:t xml:space="preserve">“How the requirements are met” field and the </w:t>
      </w:r>
      <w:r w:rsidR="00B34851">
        <w:t>l</w:t>
      </w:r>
      <w:r>
        <w:t>ink</w:t>
      </w:r>
      <w:r w:rsidR="00A034B5">
        <w:t>ed</w:t>
      </w:r>
      <w:r>
        <w:t xml:space="preserve"> </w:t>
      </w:r>
      <w:r w:rsidR="00A034B5">
        <w:t xml:space="preserve">evidence. Link additional evidence if required and update the assessment status. </w:t>
      </w:r>
    </w:p>
    <w:p w14:paraId="58E15EAF" w14:textId="77777777" w:rsidR="00B34851" w:rsidRDefault="00B34851" w:rsidP="00B34851">
      <w:pPr>
        <w:pStyle w:val="ListParagraph"/>
        <w:numPr>
          <w:ilvl w:val="0"/>
          <w:numId w:val="8"/>
        </w:numPr>
      </w:pPr>
      <w:r>
        <w:t>Review the linkages with incident types and feedback categories and revise, if required</w:t>
      </w:r>
    </w:p>
    <w:p w14:paraId="58FA3FB5" w14:textId="77777777" w:rsidR="000F3D53" w:rsidRDefault="000F3D53" w:rsidP="000F3D53">
      <w:pPr>
        <w:pStyle w:val="ListParagraph"/>
        <w:numPr>
          <w:ilvl w:val="0"/>
          <w:numId w:val="8"/>
        </w:numPr>
      </w:pPr>
      <w:r>
        <w:t xml:space="preserve">Review the </w:t>
      </w:r>
      <w:r w:rsidR="00A034B5">
        <w:t xml:space="preserve">overall status of meeting the requirements </w:t>
      </w:r>
      <w:r>
        <w:t xml:space="preserve">and </w:t>
      </w:r>
      <w:r w:rsidR="00A034B5">
        <w:t>update</w:t>
      </w:r>
      <w:r>
        <w:t>, if required</w:t>
      </w:r>
    </w:p>
    <w:p w14:paraId="136ADE52" w14:textId="77777777" w:rsidR="00CF39C6" w:rsidRDefault="000F3D53" w:rsidP="00CF39C6">
      <w:pPr>
        <w:pStyle w:val="ListParagraph"/>
        <w:numPr>
          <w:ilvl w:val="0"/>
          <w:numId w:val="8"/>
        </w:numPr>
      </w:pPr>
      <w:r>
        <w:t xml:space="preserve">Add additional </w:t>
      </w:r>
      <w:r w:rsidR="00A034B5">
        <w:t xml:space="preserve">accreditation action tasks to </w:t>
      </w:r>
      <w:r>
        <w:t xml:space="preserve">better </w:t>
      </w:r>
      <w:r w:rsidR="00A034B5">
        <w:t>comply with and meet the assessment requirements</w:t>
      </w:r>
      <w:r w:rsidR="00B34851">
        <w:t>, if required</w:t>
      </w:r>
    </w:p>
    <w:p w14:paraId="05DFA1EC" w14:textId="77777777" w:rsidR="00A034B5" w:rsidRDefault="00A034B5" w:rsidP="00A034B5">
      <w:pPr>
        <w:pStyle w:val="ListParagraph"/>
        <w:ind w:left="1080"/>
      </w:pPr>
    </w:p>
    <w:p w14:paraId="6F537BB3" w14:textId="77777777" w:rsidR="0030345E" w:rsidRPr="00FD3628" w:rsidRDefault="0030345E" w:rsidP="00911D98">
      <w:pPr>
        <w:pStyle w:val="Heading2"/>
        <w:numPr>
          <w:ilvl w:val="0"/>
          <w:numId w:val="2"/>
        </w:numPr>
      </w:pPr>
      <w:bookmarkStart w:id="18" w:name="_Toc7006437"/>
      <w:r w:rsidRPr="002D4B63">
        <w:t xml:space="preserve">How </w:t>
      </w:r>
      <w:r>
        <w:t xml:space="preserve">to manage the review of an </w:t>
      </w:r>
      <w:r w:rsidR="00A034B5">
        <w:t>accreditation requirement</w:t>
      </w:r>
      <w:bookmarkEnd w:id="18"/>
    </w:p>
    <w:p w14:paraId="70BD7F3B" w14:textId="77777777" w:rsidR="00B34851" w:rsidRDefault="00B34851" w:rsidP="00CF39C6">
      <w:r>
        <w:t xml:space="preserve">The </w:t>
      </w:r>
      <w:r w:rsidR="00A034B5">
        <w:t>Quality Manager</w:t>
      </w:r>
      <w:r>
        <w:t xml:space="preserve"> has responsibility for the overall management of the </w:t>
      </w:r>
      <w:r w:rsidR="008527A3">
        <w:t>Standard</w:t>
      </w:r>
      <w:r w:rsidR="00A034B5">
        <w:t xml:space="preserve"> requirement</w:t>
      </w:r>
      <w:r>
        <w:t xml:space="preserve"> that has been assigned to them. As part of this role the</w:t>
      </w:r>
      <w:r w:rsidR="003E02D9">
        <w:t xml:space="preserve"> </w:t>
      </w:r>
      <w:r w:rsidR="00BB19A2">
        <w:t>Q</w:t>
      </w:r>
      <w:r w:rsidR="00A034B5">
        <w:t>uality</w:t>
      </w:r>
      <w:r w:rsidR="003E02D9">
        <w:t xml:space="preserve"> </w:t>
      </w:r>
      <w:r w:rsidR="00BB19A2">
        <w:t>M</w:t>
      </w:r>
      <w:r w:rsidR="003E02D9">
        <w:t xml:space="preserve">anager has the </w:t>
      </w:r>
      <w:r>
        <w:t>responsibility to ensure:</w:t>
      </w:r>
    </w:p>
    <w:p w14:paraId="30C6E85B" w14:textId="77777777" w:rsidR="00B34851" w:rsidRDefault="00B34851" w:rsidP="00A034B5">
      <w:pPr>
        <w:pStyle w:val="ListParagraph"/>
        <w:numPr>
          <w:ilvl w:val="0"/>
          <w:numId w:val="16"/>
        </w:numPr>
      </w:pPr>
      <w:r>
        <w:t xml:space="preserve">the organisation has an accurate understanding of the </w:t>
      </w:r>
      <w:r w:rsidR="00A034B5">
        <w:t xml:space="preserve">requirements to comply with the </w:t>
      </w:r>
      <w:r w:rsidR="008527A3">
        <w:t>Standard</w:t>
      </w:r>
      <w:r w:rsidR="00A034B5">
        <w:t>s</w:t>
      </w:r>
    </w:p>
    <w:p w14:paraId="59CCB084" w14:textId="77777777" w:rsidR="00B34851" w:rsidRDefault="00A034B5" w:rsidP="00A034B5">
      <w:pPr>
        <w:pStyle w:val="ListParagraph"/>
        <w:numPr>
          <w:ilvl w:val="0"/>
          <w:numId w:val="16"/>
        </w:numPr>
      </w:pPr>
      <w:r>
        <w:t xml:space="preserve">relevant and current evidence and examples of meeting the requirements are linked to the </w:t>
      </w:r>
      <w:r w:rsidR="009A5A0E">
        <w:t>Assessment Details Form</w:t>
      </w:r>
      <w:r>
        <w:t>s</w:t>
      </w:r>
    </w:p>
    <w:p w14:paraId="1C9CA068" w14:textId="77777777" w:rsidR="001D08CB" w:rsidRDefault="001D08CB" w:rsidP="00A034B5">
      <w:pPr>
        <w:pStyle w:val="ListParagraph"/>
        <w:numPr>
          <w:ilvl w:val="0"/>
          <w:numId w:val="16"/>
        </w:numPr>
      </w:pPr>
      <w:r>
        <w:t xml:space="preserve">where the </w:t>
      </w:r>
      <w:r w:rsidR="00A034B5">
        <w:t xml:space="preserve">status of the accreditation requirement is </w:t>
      </w:r>
      <w:r>
        <w:t>“</w:t>
      </w:r>
      <w:r w:rsidR="00A034B5">
        <w:t>not met</w:t>
      </w:r>
      <w:r>
        <w:t xml:space="preserve">” </w:t>
      </w:r>
      <w:r w:rsidR="00A034B5">
        <w:t xml:space="preserve">or “part met”, </w:t>
      </w:r>
      <w:r>
        <w:t xml:space="preserve">further </w:t>
      </w:r>
      <w:r w:rsidR="00A034B5">
        <w:t>accreditation action tasks are scheduled, delegated and have clear timeframes for completion</w:t>
      </w:r>
    </w:p>
    <w:p w14:paraId="3FC27133" w14:textId="77777777" w:rsidR="00330A9B" w:rsidRPr="00200EB4" w:rsidRDefault="00B34851" w:rsidP="00200EB4">
      <w:pPr>
        <w:pStyle w:val="ListParagraph"/>
        <w:numPr>
          <w:ilvl w:val="0"/>
          <w:numId w:val="16"/>
        </w:numPr>
      </w:pPr>
      <w:r>
        <w:t xml:space="preserve">the organisation’s </w:t>
      </w:r>
      <w:r w:rsidR="00A034B5">
        <w:t xml:space="preserve">compliance with the </w:t>
      </w:r>
      <w:r w:rsidR="008527A3">
        <w:t>Standard</w:t>
      </w:r>
      <w:r w:rsidR="00A034B5">
        <w:t xml:space="preserve">s are </w:t>
      </w:r>
      <w:r>
        <w:t>being monitored</w:t>
      </w:r>
      <w:r w:rsidR="00A034B5">
        <w:t xml:space="preserve"> and maintained</w:t>
      </w:r>
      <w:bookmarkEnd w:id="3"/>
      <w:bookmarkEnd w:id="4"/>
      <w:bookmarkEnd w:id="6"/>
      <w:bookmarkEnd w:id="7"/>
    </w:p>
    <w:sectPr w:rsidR="00330A9B" w:rsidRPr="00200EB4" w:rsidSect="00912012">
      <w:headerReference w:type="default" r:id="rId40"/>
      <w:footerReference w:type="default" r:id="rId41"/>
      <w:pgSz w:w="11906" w:h="16838" w:code="9"/>
      <w:pgMar w:top="1418"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CCD9C" w14:textId="77777777" w:rsidR="008F1C3A" w:rsidRDefault="008F1C3A" w:rsidP="00577A06">
      <w:pPr>
        <w:spacing w:after="0" w:line="240" w:lineRule="auto"/>
      </w:pPr>
      <w:r>
        <w:separator/>
      </w:r>
    </w:p>
  </w:endnote>
  <w:endnote w:type="continuationSeparator" w:id="0">
    <w:p w14:paraId="28E087B7" w14:textId="77777777" w:rsidR="008F1C3A" w:rsidRDefault="008F1C3A"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A3AB" w14:textId="77777777" w:rsidR="00063BC4" w:rsidRPr="001007F0" w:rsidRDefault="00063BC4" w:rsidP="00A733AF">
    <w:pPr>
      <w:pStyle w:val="Footer"/>
    </w:pPr>
    <w:r w:rsidRPr="007C38E4">
      <w:rPr>
        <w:b/>
        <w:noProof/>
        <w:color w:val="FFFFFF" w:themeColor="background1"/>
        <w:sz w:val="36"/>
        <w:szCs w:val="36"/>
        <w:lang w:eastAsia="en-AU"/>
      </w:rPr>
      <mc:AlternateContent>
        <mc:Choice Requires="wps">
          <w:drawing>
            <wp:anchor distT="0" distB="0" distL="114300" distR="114300" simplePos="0" relativeHeight="251659264" behindDoc="1" locked="0" layoutInCell="1" allowOverlap="1" wp14:anchorId="13C78FD0" wp14:editId="69E4C9DE">
              <wp:simplePos x="0" y="0"/>
              <wp:positionH relativeFrom="page">
                <wp:posOffset>0</wp:posOffset>
              </wp:positionH>
              <wp:positionV relativeFrom="paragraph">
                <wp:posOffset>-161989</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F3888" id="Rectangle 10" o:spid="_x0000_s1026" style="position:absolute;margin-left:0;margin-top:-12.75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VbjFzt0AAAAIAQAADwAAAGRycy9kb3du&#10;cmV2LnhtbEyPwU7DMBBE70j8g7VI3FqnQaEhZFOVSlyRaJGAmxsvSYS9jmInDf163BMcRzOaeVNu&#10;ZmvERIPvHCOslgkI4trpjhuEt8PzIgfhg2KtjGNC+CEPm+r6qlSFdid+pWkfGhFL2BcKoQ2hL6T0&#10;dUtW+aXriaP35QarQpRDI/WgTrHcGpkmyb20quO40Kqedi3V3/vRIvBnOoX12XyM55d8m2rjnt53&#10;DvH2Zt4+ggg0h78wXPAjOlSR6ehG1l4YhHgkICzSLANxsVcPyR2II0KWr0FWpfx/oPoFAAD//wMA&#10;UEsBAi0AFAAGAAgAAAAhALaDOJL+AAAA4QEAABMAAAAAAAAAAAAAAAAAAAAAAFtDb250ZW50X1R5&#10;cGVzXS54bWxQSwECLQAUAAYACAAAACEAOP0h/9YAAACUAQAACwAAAAAAAAAAAAAAAAAvAQAAX3Jl&#10;bHMvLnJlbHNQSwECLQAUAAYACAAAACEAO0dBjJ8CAACqBQAADgAAAAAAAAAAAAAAAAAuAgAAZHJz&#10;L2Uyb0RvYy54bWxQSwECLQAUAAYACAAAACEAVbjFzt0AAAAIAQAADwAAAAAAAAAAAAAAAAD5BAAA&#10;ZHJzL2Rvd25yZXYueG1sUEsFBgAAAAAEAAQA8wAAAAMGA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8A2D" w14:textId="77777777" w:rsidR="00063BC4" w:rsidRPr="007D2194" w:rsidRDefault="00063BC4"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eastAsia="en-AU"/>
      </w:rPr>
      <mc:AlternateContent>
        <mc:Choice Requires="wps">
          <w:drawing>
            <wp:anchor distT="0" distB="0" distL="114300" distR="114300" simplePos="0" relativeHeight="251665408" behindDoc="1" locked="0" layoutInCell="1" allowOverlap="1" wp14:anchorId="5A7CFFB1" wp14:editId="086A1BA5">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E7C1A"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sidR="003347CB">
      <w:rPr>
        <w:noProof/>
        <w:color w:val="FFFFFF" w:themeColor="background1"/>
        <w:sz w:val="16"/>
      </w:rPr>
      <w:t>doc_325_Accreditation module training workbook_v3</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14</w:t>
    </w:r>
    <w:r w:rsidRPr="007D2194">
      <w:rPr>
        <w:color w:val="FFFFFF" w:themeColor="background1"/>
        <w:sz w:val="16"/>
      </w:rPr>
      <w:fldChar w:fldCharType="end"/>
    </w:r>
  </w:p>
  <w:p w14:paraId="17C5E426" w14:textId="77777777" w:rsidR="00063BC4" w:rsidRDefault="0006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0EB9" w14:textId="77777777" w:rsidR="00063BC4" w:rsidRDefault="008F1C3A" w:rsidP="00CB68EF">
    <w:pPr>
      <w:pStyle w:val="Footer"/>
      <w:pBdr>
        <w:top w:val="single" w:sz="4" w:space="1" w:color="auto"/>
      </w:pBdr>
      <w:tabs>
        <w:tab w:val="clear" w:pos="4513"/>
        <w:tab w:val="clear" w:pos="9026"/>
        <w:tab w:val="center" w:pos="4820"/>
        <w:tab w:val="right" w:pos="10348"/>
      </w:tabs>
      <w:spacing w:after="120"/>
      <w:rPr>
        <w:sz w:val="16"/>
      </w:rPr>
    </w:pPr>
    <w:sdt>
      <w:sdtPr>
        <w:id w:val="-1794890098"/>
        <w:docPartObj>
          <w:docPartGallery w:val="Page Numbers (Bottom of Page)"/>
          <w:docPartUnique/>
        </w:docPartObj>
      </w:sdtPr>
      <w:sdtEndPr>
        <w:rPr>
          <w:sz w:val="16"/>
        </w:rPr>
      </w:sdtEndPr>
      <w:sdtContent>
        <w:sdt>
          <w:sdtPr>
            <w:rPr>
              <w:sz w:val="16"/>
            </w:rPr>
            <w:id w:val="1760719351"/>
            <w:docPartObj>
              <w:docPartGallery w:val="Page Numbers (Top of Page)"/>
              <w:docPartUnique/>
            </w:docPartObj>
          </w:sdtPr>
          <w:sdtEndPr/>
          <w:sdtContent>
            <w:r w:rsidR="00063BC4">
              <w:rPr>
                <w:noProof/>
                <w:sz w:val="16"/>
              </w:rPr>
              <w:fldChar w:fldCharType="begin"/>
            </w:r>
            <w:r w:rsidR="00063BC4" w:rsidRPr="00925C6E">
              <w:rPr>
                <w:noProof/>
                <w:sz w:val="16"/>
              </w:rPr>
              <w:instrText xml:space="preserve"> FILENAME   \* MERGEFORMAT </w:instrText>
            </w:r>
            <w:r w:rsidR="00063BC4">
              <w:rPr>
                <w:noProof/>
                <w:sz w:val="16"/>
              </w:rPr>
              <w:fldChar w:fldCharType="separate"/>
            </w:r>
            <w:r w:rsidR="00286EB7">
              <w:rPr>
                <w:noProof/>
                <w:sz w:val="16"/>
              </w:rPr>
              <w:t>doc_325_Accreditation module training workbook_v4</w:t>
            </w:r>
            <w:r w:rsidR="00063BC4">
              <w:rPr>
                <w:noProof/>
                <w:sz w:val="16"/>
              </w:rPr>
              <w:fldChar w:fldCharType="end"/>
            </w:r>
            <w:r w:rsidR="00063BC4" w:rsidRPr="00321B90">
              <w:rPr>
                <w:noProof/>
                <w:sz w:val="16"/>
              </w:rPr>
              <w:t xml:space="preserve"> </w:t>
            </w:r>
            <w:r w:rsidR="00063BC4">
              <w:rPr>
                <w:sz w:val="16"/>
              </w:rPr>
              <w:tab/>
            </w:r>
            <w:r w:rsidR="00063BC4" w:rsidRPr="00321B90">
              <w:rPr>
                <w:sz w:val="16"/>
              </w:rPr>
              <w:tab/>
              <w:t xml:space="preserve">Page </w:t>
            </w:r>
            <w:r w:rsidR="00063BC4" w:rsidRPr="00321B90">
              <w:rPr>
                <w:sz w:val="16"/>
              </w:rPr>
              <w:fldChar w:fldCharType="begin"/>
            </w:r>
            <w:r w:rsidR="00063BC4" w:rsidRPr="00321B90">
              <w:rPr>
                <w:sz w:val="16"/>
              </w:rPr>
              <w:instrText xml:space="preserve"> PAGE </w:instrText>
            </w:r>
            <w:r w:rsidR="00063BC4" w:rsidRPr="00321B90">
              <w:rPr>
                <w:sz w:val="16"/>
              </w:rPr>
              <w:fldChar w:fldCharType="separate"/>
            </w:r>
            <w:r w:rsidR="00063BC4">
              <w:rPr>
                <w:noProof/>
                <w:sz w:val="16"/>
              </w:rPr>
              <w:t>8</w:t>
            </w:r>
            <w:r w:rsidR="00063BC4" w:rsidRPr="00321B90">
              <w:rPr>
                <w:sz w:val="16"/>
              </w:rPr>
              <w:fldChar w:fldCharType="end"/>
            </w:r>
            <w:r w:rsidR="00063BC4" w:rsidRPr="00321B90">
              <w:rPr>
                <w:sz w:val="16"/>
              </w:rPr>
              <w:t xml:space="preserve"> of </w:t>
            </w:r>
            <w:r w:rsidR="00063BC4" w:rsidRPr="00321B90">
              <w:rPr>
                <w:sz w:val="16"/>
              </w:rPr>
              <w:fldChar w:fldCharType="begin"/>
            </w:r>
            <w:r w:rsidR="00063BC4" w:rsidRPr="00321B90">
              <w:rPr>
                <w:sz w:val="16"/>
              </w:rPr>
              <w:instrText xml:space="preserve"> NUMPAGES  </w:instrText>
            </w:r>
            <w:r w:rsidR="00063BC4" w:rsidRPr="00321B90">
              <w:rPr>
                <w:sz w:val="16"/>
              </w:rPr>
              <w:fldChar w:fldCharType="separate"/>
            </w:r>
            <w:r w:rsidR="00063BC4">
              <w:rPr>
                <w:noProof/>
                <w:sz w:val="16"/>
              </w:rPr>
              <w:t>14</w:t>
            </w:r>
            <w:r w:rsidR="00063BC4" w:rsidRPr="00321B90">
              <w:rPr>
                <w:sz w:val="16"/>
              </w:rPr>
              <w:fldChar w:fldCharType="end"/>
            </w:r>
          </w:sdtContent>
        </w:sdt>
      </w:sdtContent>
    </w:sdt>
  </w:p>
  <w:p w14:paraId="3717C66B" w14:textId="77777777" w:rsidR="00063BC4" w:rsidRPr="00CB68EF" w:rsidRDefault="00063BC4"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C7E48" w14:textId="77777777" w:rsidR="008F1C3A" w:rsidRDefault="008F1C3A" w:rsidP="00577A06">
      <w:pPr>
        <w:spacing w:after="0" w:line="240" w:lineRule="auto"/>
      </w:pPr>
      <w:r>
        <w:separator/>
      </w:r>
    </w:p>
  </w:footnote>
  <w:footnote w:type="continuationSeparator" w:id="0">
    <w:p w14:paraId="58F1176A" w14:textId="77777777" w:rsidR="008F1C3A" w:rsidRDefault="008F1C3A" w:rsidP="0057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2D97" w14:textId="77777777" w:rsidR="00063BC4" w:rsidRPr="00DC5631" w:rsidRDefault="00063BC4" w:rsidP="00A733AF">
    <w:pPr>
      <w:pStyle w:val="Header"/>
      <w:ind w:left="-794"/>
    </w:pPr>
    <w:r w:rsidRPr="007C38E4">
      <w:rPr>
        <w:b/>
        <w:noProof/>
        <w:color w:val="FFFFFF" w:themeColor="background1"/>
        <w:sz w:val="36"/>
        <w:szCs w:val="36"/>
        <w:lang w:eastAsia="en-AU"/>
      </w:rPr>
      <mc:AlternateContent>
        <mc:Choice Requires="wps">
          <w:drawing>
            <wp:anchor distT="0" distB="0" distL="114300" distR="114300" simplePos="0" relativeHeight="251661312" behindDoc="1" locked="0" layoutInCell="1" allowOverlap="1" wp14:anchorId="45BA2236" wp14:editId="10BF3E59">
              <wp:simplePos x="0" y="0"/>
              <wp:positionH relativeFrom="page">
                <wp:align>left</wp:align>
              </wp:positionH>
              <wp:positionV relativeFrom="paragraph">
                <wp:posOffset>816</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8D575" id="Rectangle 194" o:spid="_x0000_s1026" style="position:absolute;margin-left:0;margin-top:.05pt;width:595.15pt;height:42.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Bs9tkf2gAAAAUBAAAPAAAAZHJzL2Rv&#10;d25yZXYueG1sTI/BTsMwEETvSPyDtUjcqNMUQRriVKUSVyRaJOjNjZckwt6NYicN/XqcExx3ZjTz&#10;tthMzooRe98yKVguEhBIFZuWagXvh5e7DIQPmoy2TKjgBz1syuurQueGz/SG4z7UIpaQz7WCJoQu&#10;l9JXDTrtF9whRe+Le6dDPPtaml6fY7mzMk2SB+l0S3Gh0R3uGqy+94NTQMd0DI8X+zlcXrNtaiw/&#10;f+xYqdubafsEIuAU/sIw40d0KCPTiQcyXlgF8ZEwq2L2lutkBeKkILtfgSwL+Z++/AUAAP//AwBQ&#10;SwECLQAUAAYACAAAACEAtoM4kv4AAADhAQAAEwAAAAAAAAAAAAAAAAAAAAAAW0NvbnRlbnRfVHlw&#10;ZXNdLnhtbFBLAQItABQABgAIAAAAIQA4/SH/1gAAAJQBAAALAAAAAAAAAAAAAAAAAC8BAABfcmVs&#10;cy8ucmVsc1BLAQItABQABgAIAAAAIQBg7UW6oQIAAKwFAAAOAAAAAAAAAAAAAAAAAC4CAABkcnMv&#10;ZTJvRG9jLnhtbFBLAQItABQABgAIAAAAIQBs9tkf2gAAAAUBAAAPAAAAAAAAAAAAAAAAAPsEAABk&#10;cnMvZG93bnJldi54bWxQSwUGAAAAAAQABADzAAAAAgYAAAAA&#10;" fillcolor="#a5a5a5 [2092]"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6C58" w14:textId="77777777" w:rsidR="00063BC4" w:rsidRPr="00DC5631" w:rsidRDefault="00063BC4" w:rsidP="00D31EE1">
    <w:pPr>
      <w:pStyle w:val="Header"/>
      <w:ind w:left="-794"/>
    </w:pPr>
    <w:r>
      <w:rPr>
        <w:noProof/>
        <w:lang w:eastAsia="en-AU"/>
      </w:rPr>
      <w:drawing>
        <wp:inline distT="0" distB="0" distL="0" distR="0" wp14:anchorId="09214968" wp14:editId="5D09C2A4">
          <wp:extent cx="7558405" cy="1442064"/>
          <wp:effectExtent l="0" t="0" r="4445" b="635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7605" cy="1453359"/>
                  </a:xfrm>
                  <a:prstGeom prst="rect">
                    <a:avLst/>
                  </a:prstGeom>
                  <a:ln>
                    <a:noFill/>
                  </a:ln>
                  <a:extLst>
                    <a:ext uri="{53640926-AAD7-44D8-BBD7-CCE9431645EC}">
                      <a14:shadowObscured xmlns:a14="http://schemas.microsoft.com/office/drawing/2010/main"/>
                    </a:ext>
                  </a:extLst>
                </pic:spPr>
              </pic:pic>
            </a:graphicData>
          </a:graphic>
        </wp:inline>
      </w:drawing>
    </w:r>
  </w:p>
  <w:p w14:paraId="71FC4129" w14:textId="77777777" w:rsidR="00063BC4" w:rsidRDefault="00063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AF35" w14:textId="77777777" w:rsidR="00063BC4" w:rsidRPr="00DC5631" w:rsidRDefault="00063BC4" w:rsidP="00A733AF">
    <w:pPr>
      <w:pStyle w:val="Header"/>
      <w:ind w:left="-794"/>
    </w:pPr>
    <w:r w:rsidRPr="007C38E4">
      <w:rPr>
        <w:b/>
        <w:noProof/>
        <w:color w:val="FFFFFF" w:themeColor="background1"/>
        <w:sz w:val="36"/>
        <w:szCs w:val="36"/>
        <w:lang w:eastAsia="en-AU"/>
      </w:rPr>
      <mc:AlternateContent>
        <mc:Choice Requires="wps">
          <w:drawing>
            <wp:anchor distT="0" distB="0" distL="114300" distR="114300" simplePos="0" relativeHeight="251667456" behindDoc="1" locked="0" layoutInCell="1" allowOverlap="1" wp14:anchorId="69B34375" wp14:editId="1D2FDA64">
              <wp:simplePos x="0" y="0"/>
              <wp:positionH relativeFrom="page">
                <wp:align>left</wp:align>
              </wp:positionH>
              <wp:positionV relativeFrom="paragraph">
                <wp:posOffset>816</wp:posOffset>
              </wp:positionV>
              <wp:extent cx="7558715" cy="534390"/>
              <wp:effectExtent l="0" t="0" r="4445" b="0"/>
              <wp:wrapNone/>
              <wp:docPr id="12" name="Rectangle 12"/>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3D03" id="Rectangle 12" o:spid="_x0000_s1026" style="position:absolute;margin-left:0;margin-top:.05pt;width:595.15pt;height:42.1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Aa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zEl&#10;hmn8Rw/IGjNrJQjqkKDW+hnaPdql6ySP11jtXjodv1gH2SdSDwOpYh8IR+XpdHp2OppSwvFtejw5&#10;Pk+sFy/e1vnwVYAm8VJRh+ETl2x36wNGRNPeJAbzoJr6plEqCbFRxJVyZMfwF6/Wo+Sqtvo71Fl3&#10;Mi3LPmTqq2ieUN8gKRPxDETkHDRqilh8LjfdwkGJaKfMg5DIGxY4ThEH5ByUcS5MyMn4DatFVsdU&#10;Ps4lAUZkifEH7A7gbZE9ds6ys4+uIjX84Fz+LbHsPHikyGDC4KwbA+4jAIVVdZGzfU9SpiaytIL6&#10;gF3lII+bt/ymwV97y3xYMofzhZOIOyPc4yEVtBWF7kbJBtyvj/TRHtseXylpcV4r6n9umROUqG8G&#10;B+J8NJnEAU/CZHo6RsG9flm9fjFbfQXYLyPcTpana7QPqr9KB/oZV8siRsUnZjjGrigPrheuQt4j&#10;uJy4WCySGQ61ZeHWPFoewSOrsXWf9s/M2a6/A07GHfSzzWbv2jzbRk8Di20A2aQZeOG14xsXQmri&#10;bnnFjfNaTlYvK3b+GwAA//8DAFBLAwQUAAYACAAAACEAbPbZH9oAAAAFAQAADwAAAGRycy9kb3du&#10;cmV2LnhtbEyPwU7DMBBE70j8g7VI3KjTFEEa4lSlElckWiTozY2XJMLejWInDf16nBMcd2Y087bY&#10;TM6KEXvfMilYLhIQSBWblmoF74eXuwyED5qMtkyo4Ac9bMrrq0Lnhs/0huM+1CKWkM+1giaELpfS&#10;Vw067RfcIUXvi3unQzz7Wppen2O5szJNkgfpdEtxodEd7hqsvveDU0DHdAyPF/s5XF6zbWosP3/s&#10;WKnbm2n7BCLgFP7CMONHdCgj04kHMl5YBfGRMKti9pbrZAXipCC7X4EsC/mfvvwFAAD//wMAUEsB&#10;Ai0AFAAGAAgAAAAhALaDOJL+AAAA4QEAABMAAAAAAAAAAAAAAAAAAAAAAFtDb250ZW50X1R5cGVz&#10;XS54bWxQSwECLQAUAAYACAAAACEAOP0h/9YAAACUAQAACwAAAAAAAAAAAAAAAAAvAQAAX3JlbHMv&#10;LnJlbHNQSwECLQAUAAYACAAAACEAaRLAGp8CAACqBQAADgAAAAAAAAAAAAAAAAAuAgAAZHJzL2Uy&#10;b0RvYy54bWxQSwECLQAUAAYACAAAACEAbPbZH9oAAAAFAQAADwAAAAAAAAAAAAAAAAD5BAAAZHJz&#10;L2Rvd25yZXYueG1sUEsFBgAAAAAEAAQA8wAAAAA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D9C"/>
    <w:multiLevelType w:val="hybridMultilevel"/>
    <w:tmpl w:val="39DAC0E8"/>
    <w:lvl w:ilvl="0" w:tplc="0C09000D">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23495A"/>
    <w:multiLevelType w:val="hybridMultilevel"/>
    <w:tmpl w:val="AB22C77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E1A1B4A"/>
    <w:multiLevelType w:val="hybridMultilevel"/>
    <w:tmpl w:val="D60E52B4"/>
    <w:lvl w:ilvl="0" w:tplc="04BE4AC4">
      <w:start w:val="1"/>
      <w:numFmt w:val="decimal"/>
      <w:lvlText w:val="%1."/>
      <w:lvlJc w:val="left"/>
      <w:pPr>
        <w:ind w:left="1152" w:hanging="36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3" w15:restartNumberingAfterBreak="0">
    <w:nsid w:val="0E8B2402"/>
    <w:multiLevelType w:val="hybridMultilevel"/>
    <w:tmpl w:val="23E8EEEE"/>
    <w:lvl w:ilvl="0" w:tplc="E7BEE372">
      <w:start w:val="1"/>
      <w:numFmt w:val="decimal"/>
      <w:lvlText w:val="%1."/>
      <w:lvlJc w:val="left"/>
      <w:pPr>
        <w:ind w:left="504" w:hanging="360"/>
      </w:pPr>
      <w:rPr>
        <w:rFonts w:ascii="Calibri Light" w:eastAsiaTheme="minorHAnsi" w:hAnsi="Calibri Light" w:cstheme="minorBidi"/>
      </w:rPr>
    </w:lvl>
    <w:lvl w:ilvl="1" w:tplc="0C090019">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4" w15:restartNumberingAfterBreak="0">
    <w:nsid w:val="1417716C"/>
    <w:multiLevelType w:val="hybridMultilevel"/>
    <w:tmpl w:val="3D042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7971FB"/>
    <w:multiLevelType w:val="hybridMultilevel"/>
    <w:tmpl w:val="114038AC"/>
    <w:lvl w:ilvl="0" w:tplc="E9D2CF14">
      <w:start w:val="1"/>
      <w:numFmt w:val="decimal"/>
      <w:lvlText w:val="%1."/>
      <w:lvlJc w:val="left"/>
      <w:pPr>
        <w:ind w:left="1080" w:hanging="360"/>
      </w:pPr>
      <w:rPr>
        <w:rFonts w:eastAsiaTheme="minorHAnsi" w:cstheme="minorBidi"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1AA1F72"/>
    <w:multiLevelType w:val="hybridMultilevel"/>
    <w:tmpl w:val="1854A5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C77B99"/>
    <w:multiLevelType w:val="multilevel"/>
    <w:tmpl w:val="84C4E568"/>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B86C81"/>
    <w:multiLevelType w:val="hybridMultilevel"/>
    <w:tmpl w:val="C3BE085E"/>
    <w:lvl w:ilvl="0" w:tplc="42A62AF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2E977C7"/>
    <w:multiLevelType w:val="hybridMultilevel"/>
    <w:tmpl w:val="A99EB5C4"/>
    <w:lvl w:ilvl="0" w:tplc="3E6E7A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5522D3"/>
    <w:multiLevelType w:val="multilevel"/>
    <w:tmpl w:val="B888F28A"/>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0C6905"/>
    <w:multiLevelType w:val="hybridMultilevel"/>
    <w:tmpl w:val="AB22C77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C316962"/>
    <w:multiLevelType w:val="hybridMultilevel"/>
    <w:tmpl w:val="9160968A"/>
    <w:lvl w:ilvl="0" w:tplc="C0E005AE">
      <w:start w:val="1"/>
      <w:numFmt w:val="bullet"/>
      <w:pStyle w:val="Lin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EB29D9"/>
    <w:multiLevelType w:val="hybridMultilevel"/>
    <w:tmpl w:val="4DECE1EC"/>
    <w:lvl w:ilvl="0" w:tplc="0C090005">
      <w:start w:val="1"/>
      <w:numFmt w:val="bullet"/>
      <w:lvlText w:val=""/>
      <w:lvlJc w:val="left"/>
      <w:pPr>
        <w:ind w:left="1905" w:hanging="360"/>
      </w:pPr>
      <w:rPr>
        <w:rFonts w:ascii="Wingdings" w:hAnsi="Wingdings"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14" w15:restartNumberingAfterBreak="0">
    <w:nsid w:val="753B1B44"/>
    <w:multiLevelType w:val="hybridMultilevel"/>
    <w:tmpl w:val="4E66232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C0D438B"/>
    <w:multiLevelType w:val="hybridMultilevel"/>
    <w:tmpl w:val="8AB276D6"/>
    <w:lvl w:ilvl="0" w:tplc="421EE3E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4"/>
  </w:num>
  <w:num w:numId="6">
    <w:abstractNumId w:val="13"/>
  </w:num>
  <w:num w:numId="7">
    <w:abstractNumId w:val="14"/>
  </w:num>
  <w:num w:numId="8">
    <w:abstractNumId w:val="1"/>
  </w:num>
  <w:num w:numId="9">
    <w:abstractNumId w:val="6"/>
  </w:num>
  <w:num w:numId="10">
    <w:abstractNumId w:val="15"/>
  </w:num>
  <w:num w:numId="11">
    <w:abstractNumId w:val="5"/>
  </w:num>
  <w:num w:numId="12">
    <w:abstractNumId w:val="0"/>
  </w:num>
  <w:num w:numId="13">
    <w:abstractNumId w:val="7"/>
  </w:num>
  <w:num w:numId="14">
    <w:abstractNumId w:val="3"/>
  </w:num>
  <w:num w:numId="15">
    <w:abstractNumId w:val="2"/>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667E"/>
    <w:rsid w:val="00007A7B"/>
    <w:rsid w:val="00012F0A"/>
    <w:rsid w:val="000149BC"/>
    <w:rsid w:val="0001556E"/>
    <w:rsid w:val="000161E4"/>
    <w:rsid w:val="00016D80"/>
    <w:rsid w:val="00022BFE"/>
    <w:rsid w:val="00025103"/>
    <w:rsid w:val="00025D6B"/>
    <w:rsid w:val="000302A2"/>
    <w:rsid w:val="00037461"/>
    <w:rsid w:val="00040C3D"/>
    <w:rsid w:val="00042E20"/>
    <w:rsid w:val="00042EB7"/>
    <w:rsid w:val="0004719F"/>
    <w:rsid w:val="0005395D"/>
    <w:rsid w:val="00054FD1"/>
    <w:rsid w:val="00055585"/>
    <w:rsid w:val="000619FD"/>
    <w:rsid w:val="000627B8"/>
    <w:rsid w:val="00062938"/>
    <w:rsid w:val="00063BC4"/>
    <w:rsid w:val="00065A2B"/>
    <w:rsid w:val="000671D8"/>
    <w:rsid w:val="000722C1"/>
    <w:rsid w:val="00072972"/>
    <w:rsid w:val="00074101"/>
    <w:rsid w:val="000743CC"/>
    <w:rsid w:val="00076AC3"/>
    <w:rsid w:val="00080E0A"/>
    <w:rsid w:val="00083018"/>
    <w:rsid w:val="000837EB"/>
    <w:rsid w:val="00084727"/>
    <w:rsid w:val="0008728E"/>
    <w:rsid w:val="00087D2D"/>
    <w:rsid w:val="000906BF"/>
    <w:rsid w:val="00090B11"/>
    <w:rsid w:val="000925EA"/>
    <w:rsid w:val="00094A3B"/>
    <w:rsid w:val="000A28D4"/>
    <w:rsid w:val="000A7E6D"/>
    <w:rsid w:val="000A7EB6"/>
    <w:rsid w:val="000B09EA"/>
    <w:rsid w:val="000B305D"/>
    <w:rsid w:val="000B54C6"/>
    <w:rsid w:val="000B76FC"/>
    <w:rsid w:val="000B7957"/>
    <w:rsid w:val="000C0A3E"/>
    <w:rsid w:val="000C19CF"/>
    <w:rsid w:val="000C478C"/>
    <w:rsid w:val="000C4F62"/>
    <w:rsid w:val="000C6225"/>
    <w:rsid w:val="000D1669"/>
    <w:rsid w:val="000D59EB"/>
    <w:rsid w:val="000D5F3F"/>
    <w:rsid w:val="000D7DA4"/>
    <w:rsid w:val="000E2A33"/>
    <w:rsid w:val="000E3643"/>
    <w:rsid w:val="000F07B7"/>
    <w:rsid w:val="000F38D0"/>
    <w:rsid w:val="000F3D53"/>
    <w:rsid w:val="000F6573"/>
    <w:rsid w:val="000F77D2"/>
    <w:rsid w:val="00100747"/>
    <w:rsid w:val="00101F2C"/>
    <w:rsid w:val="00105604"/>
    <w:rsid w:val="00106EE3"/>
    <w:rsid w:val="00111FF4"/>
    <w:rsid w:val="00112BB7"/>
    <w:rsid w:val="001134C7"/>
    <w:rsid w:val="001135A3"/>
    <w:rsid w:val="0011458E"/>
    <w:rsid w:val="0011583A"/>
    <w:rsid w:val="00116837"/>
    <w:rsid w:val="0011731F"/>
    <w:rsid w:val="00117323"/>
    <w:rsid w:val="00117DD6"/>
    <w:rsid w:val="00120B67"/>
    <w:rsid w:val="00123BF8"/>
    <w:rsid w:val="00124AFD"/>
    <w:rsid w:val="001316F8"/>
    <w:rsid w:val="00133AA7"/>
    <w:rsid w:val="001343CA"/>
    <w:rsid w:val="00135B86"/>
    <w:rsid w:val="00142345"/>
    <w:rsid w:val="00143A1C"/>
    <w:rsid w:val="001462EE"/>
    <w:rsid w:val="001508F7"/>
    <w:rsid w:val="001525D3"/>
    <w:rsid w:val="00160437"/>
    <w:rsid w:val="00160819"/>
    <w:rsid w:val="00161444"/>
    <w:rsid w:val="001660EE"/>
    <w:rsid w:val="00170846"/>
    <w:rsid w:val="00170848"/>
    <w:rsid w:val="00180F3D"/>
    <w:rsid w:val="00181949"/>
    <w:rsid w:val="001819EE"/>
    <w:rsid w:val="00183AB0"/>
    <w:rsid w:val="0018486C"/>
    <w:rsid w:val="00196D9E"/>
    <w:rsid w:val="001A0B26"/>
    <w:rsid w:val="001A48DF"/>
    <w:rsid w:val="001A4F43"/>
    <w:rsid w:val="001A686E"/>
    <w:rsid w:val="001A6D60"/>
    <w:rsid w:val="001B111A"/>
    <w:rsid w:val="001B2748"/>
    <w:rsid w:val="001C0E33"/>
    <w:rsid w:val="001C2FC5"/>
    <w:rsid w:val="001C3C45"/>
    <w:rsid w:val="001C584E"/>
    <w:rsid w:val="001C5DC8"/>
    <w:rsid w:val="001C62AD"/>
    <w:rsid w:val="001C7272"/>
    <w:rsid w:val="001C74C4"/>
    <w:rsid w:val="001C7CEB"/>
    <w:rsid w:val="001C7F67"/>
    <w:rsid w:val="001D08CB"/>
    <w:rsid w:val="001D0D34"/>
    <w:rsid w:val="001D5C8E"/>
    <w:rsid w:val="00200EB4"/>
    <w:rsid w:val="00201CC0"/>
    <w:rsid w:val="00203E21"/>
    <w:rsid w:val="0020454C"/>
    <w:rsid w:val="00206466"/>
    <w:rsid w:val="002075FD"/>
    <w:rsid w:val="00207655"/>
    <w:rsid w:val="002124AF"/>
    <w:rsid w:val="002130DB"/>
    <w:rsid w:val="002159DC"/>
    <w:rsid w:val="00221365"/>
    <w:rsid w:val="0022210E"/>
    <w:rsid w:val="00223D5B"/>
    <w:rsid w:val="00225A64"/>
    <w:rsid w:val="0022642B"/>
    <w:rsid w:val="00230CAF"/>
    <w:rsid w:val="00232FBF"/>
    <w:rsid w:val="0023617A"/>
    <w:rsid w:val="00236D17"/>
    <w:rsid w:val="00241BC5"/>
    <w:rsid w:val="00247841"/>
    <w:rsid w:val="002604E2"/>
    <w:rsid w:val="00260760"/>
    <w:rsid w:val="00261A5E"/>
    <w:rsid w:val="002639BE"/>
    <w:rsid w:val="00263ADD"/>
    <w:rsid w:val="002654A6"/>
    <w:rsid w:val="00265803"/>
    <w:rsid w:val="00265F41"/>
    <w:rsid w:val="002677C8"/>
    <w:rsid w:val="00267D61"/>
    <w:rsid w:val="00274DA8"/>
    <w:rsid w:val="00283191"/>
    <w:rsid w:val="0028328C"/>
    <w:rsid w:val="00286EB7"/>
    <w:rsid w:val="00290022"/>
    <w:rsid w:val="00290D34"/>
    <w:rsid w:val="0029159B"/>
    <w:rsid w:val="00293DB3"/>
    <w:rsid w:val="00294769"/>
    <w:rsid w:val="002973B5"/>
    <w:rsid w:val="002A1557"/>
    <w:rsid w:val="002B1BF9"/>
    <w:rsid w:val="002B3708"/>
    <w:rsid w:val="002C3F3E"/>
    <w:rsid w:val="002C7308"/>
    <w:rsid w:val="002C7FCE"/>
    <w:rsid w:val="002D378F"/>
    <w:rsid w:val="002D381A"/>
    <w:rsid w:val="002D3C51"/>
    <w:rsid w:val="002D4B63"/>
    <w:rsid w:val="002D5A20"/>
    <w:rsid w:val="002D604F"/>
    <w:rsid w:val="002E4C63"/>
    <w:rsid w:val="002F10A4"/>
    <w:rsid w:val="002F3744"/>
    <w:rsid w:val="002F5EEA"/>
    <w:rsid w:val="002F615A"/>
    <w:rsid w:val="00300986"/>
    <w:rsid w:val="003031D9"/>
    <w:rsid w:val="0030345E"/>
    <w:rsid w:val="003079BC"/>
    <w:rsid w:val="00311117"/>
    <w:rsid w:val="0031684E"/>
    <w:rsid w:val="00324034"/>
    <w:rsid w:val="00325618"/>
    <w:rsid w:val="00330A9B"/>
    <w:rsid w:val="003347CB"/>
    <w:rsid w:val="003355F6"/>
    <w:rsid w:val="0033747D"/>
    <w:rsid w:val="00337946"/>
    <w:rsid w:val="003405D1"/>
    <w:rsid w:val="00346DD3"/>
    <w:rsid w:val="00350441"/>
    <w:rsid w:val="00361D35"/>
    <w:rsid w:val="00363A2D"/>
    <w:rsid w:val="00364CAD"/>
    <w:rsid w:val="00367DB2"/>
    <w:rsid w:val="00371A4A"/>
    <w:rsid w:val="0037436B"/>
    <w:rsid w:val="00375239"/>
    <w:rsid w:val="00381623"/>
    <w:rsid w:val="0038272E"/>
    <w:rsid w:val="00384F8D"/>
    <w:rsid w:val="00385391"/>
    <w:rsid w:val="00392D3D"/>
    <w:rsid w:val="00394040"/>
    <w:rsid w:val="003A18E5"/>
    <w:rsid w:val="003A1920"/>
    <w:rsid w:val="003A1A39"/>
    <w:rsid w:val="003A53FA"/>
    <w:rsid w:val="003A5F07"/>
    <w:rsid w:val="003A6B54"/>
    <w:rsid w:val="003B448E"/>
    <w:rsid w:val="003B7B46"/>
    <w:rsid w:val="003D01AA"/>
    <w:rsid w:val="003D108C"/>
    <w:rsid w:val="003D2CDB"/>
    <w:rsid w:val="003D4E2E"/>
    <w:rsid w:val="003D5710"/>
    <w:rsid w:val="003D6A2F"/>
    <w:rsid w:val="003E02D9"/>
    <w:rsid w:val="003E1D31"/>
    <w:rsid w:val="003E27B3"/>
    <w:rsid w:val="003E5DE1"/>
    <w:rsid w:val="003E659B"/>
    <w:rsid w:val="003F078A"/>
    <w:rsid w:val="003F41CA"/>
    <w:rsid w:val="003F5570"/>
    <w:rsid w:val="00401AE9"/>
    <w:rsid w:val="004036A4"/>
    <w:rsid w:val="00406BC8"/>
    <w:rsid w:val="00413D53"/>
    <w:rsid w:val="00415F7B"/>
    <w:rsid w:val="00416365"/>
    <w:rsid w:val="00417786"/>
    <w:rsid w:val="004200B8"/>
    <w:rsid w:val="00421095"/>
    <w:rsid w:val="0042116F"/>
    <w:rsid w:val="00421CD4"/>
    <w:rsid w:val="00425C39"/>
    <w:rsid w:val="00426B45"/>
    <w:rsid w:val="0042778A"/>
    <w:rsid w:val="00431BAF"/>
    <w:rsid w:val="00436A1C"/>
    <w:rsid w:val="0043714D"/>
    <w:rsid w:val="00441CA8"/>
    <w:rsid w:val="00443E64"/>
    <w:rsid w:val="00451D16"/>
    <w:rsid w:val="00453176"/>
    <w:rsid w:val="004543A1"/>
    <w:rsid w:val="004620B7"/>
    <w:rsid w:val="00464B6D"/>
    <w:rsid w:val="0047074C"/>
    <w:rsid w:val="00473EDF"/>
    <w:rsid w:val="0047404C"/>
    <w:rsid w:val="00474DE5"/>
    <w:rsid w:val="00475A07"/>
    <w:rsid w:val="0047637F"/>
    <w:rsid w:val="0047773B"/>
    <w:rsid w:val="00480C26"/>
    <w:rsid w:val="00483E2A"/>
    <w:rsid w:val="00483FDE"/>
    <w:rsid w:val="004910D8"/>
    <w:rsid w:val="00493FFD"/>
    <w:rsid w:val="00495106"/>
    <w:rsid w:val="0049597A"/>
    <w:rsid w:val="00497CC1"/>
    <w:rsid w:val="004A321C"/>
    <w:rsid w:val="004A6944"/>
    <w:rsid w:val="004B018B"/>
    <w:rsid w:val="004B2198"/>
    <w:rsid w:val="004B4B82"/>
    <w:rsid w:val="004B4E78"/>
    <w:rsid w:val="004C0D36"/>
    <w:rsid w:val="004C2205"/>
    <w:rsid w:val="004C66E5"/>
    <w:rsid w:val="004C79A1"/>
    <w:rsid w:val="004D087C"/>
    <w:rsid w:val="004D2527"/>
    <w:rsid w:val="004D6D89"/>
    <w:rsid w:val="004E193F"/>
    <w:rsid w:val="004F004B"/>
    <w:rsid w:val="004F0718"/>
    <w:rsid w:val="004F4326"/>
    <w:rsid w:val="004F4BE6"/>
    <w:rsid w:val="004F5F88"/>
    <w:rsid w:val="004F7E4C"/>
    <w:rsid w:val="00500EDB"/>
    <w:rsid w:val="00504082"/>
    <w:rsid w:val="00511DCF"/>
    <w:rsid w:val="00512724"/>
    <w:rsid w:val="00512C32"/>
    <w:rsid w:val="00513B35"/>
    <w:rsid w:val="00517E82"/>
    <w:rsid w:val="005201A4"/>
    <w:rsid w:val="00523824"/>
    <w:rsid w:val="005255D6"/>
    <w:rsid w:val="0053060A"/>
    <w:rsid w:val="00533C61"/>
    <w:rsid w:val="00537778"/>
    <w:rsid w:val="00540998"/>
    <w:rsid w:val="00542B4D"/>
    <w:rsid w:val="00544229"/>
    <w:rsid w:val="0054557C"/>
    <w:rsid w:val="005458F4"/>
    <w:rsid w:val="00547C9F"/>
    <w:rsid w:val="00550A41"/>
    <w:rsid w:val="00560359"/>
    <w:rsid w:val="0056781B"/>
    <w:rsid w:val="005711AA"/>
    <w:rsid w:val="0057172B"/>
    <w:rsid w:val="00571A16"/>
    <w:rsid w:val="0057208E"/>
    <w:rsid w:val="0057437C"/>
    <w:rsid w:val="00576B03"/>
    <w:rsid w:val="005771D1"/>
    <w:rsid w:val="00577A06"/>
    <w:rsid w:val="00580F4D"/>
    <w:rsid w:val="00580FAA"/>
    <w:rsid w:val="00581A63"/>
    <w:rsid w:val="0058604B"/>
    <w:rsid w:val="00586461"/>
    <w:rsid w:val="00586DA7"/>
    <w:rsid w:val="00587A41"/>
    <w:rsid w:val="00590859"/>
    <w:rsid w:val="005914C8"/>
    <w:rsid w:val="0059170E"/>
    <w:rsid w:val="0059429A"/>
    <w:rsid w:val="00594D1D"/>
    <w:rsid w:val="005969B1"/>
    <w:rsid w:val="005A1EB2"/>
    <w:rsid w:val="005A3774"/>
    <w:rsid w:val="005A4EC2"/>
    <w:rsid w:val="005A57C4"/>
    <w:rsid w:val="005A6EFD"/>
    <w:rsid w:val="005B246F"/>
    <w:rsid w:val="005B4775"/>
    <w:rsid w:val="005C040B"/>
    <w:rsid w:val="005C4C27"/>
    <w:rsid w:val="005C51E1"/>
    <w:rsid w:val="005D1809"/>
    <w:rsid w:val="005D51C9"/>
    <w:rsid w:val="005D5261"/>
    <w:rsid w:val="005D5CCE"/>
    <w:rsid w:val="005E18B0"/>
    <w:rsid w:val="005E42ED"/>
    <w:rsid w:val="005E4545"/>
    <w:rsid w:val="005F225D"/>
    <w:rsid w:val="005F3320"/>
    <w:rsid w:val="005F35A3"/>
    <w:rsid w:val="005F5652"/>
    <w:rsid w:val="005F5D9C"/>
    <w:rsid w:val="005F7ABD"/>
    <w:rsid w:val="00604A60"/>
    <w:rsid w:val="006059EB"/>
    <w:rsid w:val="00605A75"/>
    <w:rsid w:val="006075AD"/>
    <w:rsid w:val="00607F45"/>
    <w:rsid w:val="00610D69"/>
    <w:rsid w:val="00611A42"/>
    <w:rsid w:val="00612144"/>
    <w:rsid w:val="006135AC"/>
    <w:rsid w:val="00614189"/>
    <w:rsid w:val="00614516"/>
    <w:rsid w:val="00616093"/>
    <w:rsid w:val="00626465"/>
    <w:rsid w:val="006303B9"/>
    <w:rsid w:val="00636645"/>
    <w:rsid w:val="00636F06"/>
    <w:rsid w:val="00643468"/>
    <w:rsid w:val="006434BF"/>
    <w:rsid w:val="006443BC"/>
    <w:rsid w:val="00650A34"/>
    <w:rsid w:val="00661F6F"/>
    <w:rsid w:val="00666794"/>
    <w:rsid w:val="00667768"/>
    <w:rsid w:val="0067216C"/>
    <w:rsid w:val="00672D7B"/>
    <w:rsid w:val="00673607"/>
    <w:rsid w:val="00673990"/>
    <w:rsid w:val="00680C4F"/>
    <w:rsid w:val="00684512"/>
    <w:rsid w:val="00692812"/>
    <w:rsid w:val="00692E7F"/>
    <w:rsid w:val="006A259A"/>
    <w:rsid w:val="006A4ACA"/>
    <w:rsid w:val="006A6697"/>
    <w:rsid w:val="006B2A61"/>
    <w:rsid w:val="006B3D74"/>
    <w:rsid w:val="006B55B7"/>
    <w:rsid w:val="006B674F"/>
    <w:rsid w:val="006C1F8A"/>
    <w:rsid w:val="006C6CBD"/>
    <w:rsid w:val="006D02CC"/>
    <w:rsid w:val="006D53B9"/>
    <w:rsid w:val="006D61C8"/>
    <w:rsid w:val="006E2AC3"/>
    <w:rsid w:val="006E432E"/>
    <w:rsid w:val="006E468A"/>
    <w:rsid w:val="006E4ADE"/>
    <w:rsid w:val="006E629B"/>
    <w:rsid w:val="006E7A88"/>
    <w:rsid w:val="006F1B00"/>
    <w:rsid w:val="006F4147"/>
    <w:rsid w:val="006F6D5C"/>
    <w:rsid w:val="006F77D2"/>
    <w:rsid w:val="007027FC"/>
    <w:rsid w:val="00703E30"/>
    <w:rsid w:val="0070732A"/>
    <w:rsid w:val="00711CF7"/>
    <w:rsid w:val="00715111"/>
    <w:rsid w:val="007154C9"/>
    <w:rsid w:val="007167F6"/>
    <w:rsid w:val="007204FE"/>
    <w:rsid w:val="00723B04"/>
    <w:rsid w:val="007240FC"/>
    <w:rsid w:val="00725487"/>
    <w:rsid w:val="00725C28"/>
    <w:rsid w:val="0072618A"/>
    <w:rsid w:val="00726924"/>
    <w:rsid w:val="0073054C"/>
    <w:rsid w:val="00732CBE"/>
    <w:rsid w:val="007331AD"/>
    <w:rsid w:val="00734B8F"/>
    <w:rsid w:val="0073689C"/>
    <w:rsid w:val="0074202F"/>
    <w:rsid w:val="00742541"/>
    <w:rsid w:val="00742D73"/>
    <w:rsid w:val="0074555D"/>
    <w:rsid w:val="00751168"/>
    <w:rsid w:val="00751E87"/>
    <w:rsid w:val="0075737A"/>
    <w:rsid w:val="00763876"/>
    <w:rsid w:val="00766B20"/>
    <w:rsid w:val="00767228"/>
    <w:rsid w:val="007718A5"/>
    <w:rsid w:val="007720E0"/>
    <w:rsid w:val="00774505"/>
    <w:rsid w:val="007755F9"/>
    <w:rsid w:val="00777B0F"/>
    <w:rsid w:val="00780685"/>
    <w:rsid w:val="0078372D"/>
    <w:rsid w:val="007842EB"/>
    <w:rsid w:val="00786523"/>
    <w:rsid w:val="00786F84"/>
    <w:rsid w:val="007901E5"/>
    <w:rsid w:val="00790DB0"/>
    <w:rsid w:val="00791B24"/>
    <w:rsid w:val="007A03C3"/>
    <w:rsid w:val="007A1540"/>
    <w:rsid w:val="007A1BD5"/>
    <w:rsid w:val="007A267A"/>
    <w:rsid w:val="007A2C53"/>
    <w:rsid w:val="007A45F7"/>
    <w:rsid w:val="007A573A"/>
    <w:rsid w:val="007A6297"/>
    <w:rsid w:val="007B1186"/>
    <w:rsid w:val="007B3B70"/>
    <w:rsid w:val="007B43A1"/>
    <w:rsid w:val="007B7369"/>
    <w:rsid w:val="007C1462"/>
    <w:rsid w:val="007D09EA"/>
    <w:rsid w:val="007D0B2F"/>
    <w:rsid w:val="007D38BD"/>
    <w:rsid w:val="007D4C15"/>
    <w:rsid w:val="007D70E0"/>
    <w:rsid w:val="007E02FD"/>
    <w:rsid w:val="007E383B"/>
    <w:rsid w:val="007F0FF7"/>
    <w:rsid w:val="007F442B"/>
    <w:rsid w:val="007F4E06"/>
    <w:rsid w:val="007F5597"/>
    <w:rsid w:val="0080257C"/>
    <w:rsid w:val="00803EA9"/>
    <w:rsid w:val="00806363"/>
    <w:rsid w:val="00811459"/>
    <w:rsid w:val="00814850"/>
    <w:rsid w:val="00815A51"/>
    <w:rsid w:val="00816304"/>
    <w:rsid w:val="00817AD5"/>
    <w:rsid w:val="00820668"/>
    <w:rsid w:val="00823F14"/>
    <w:rsid w:val="00824112"/>
    <w:rsid w:val="00827F52"/>
    <w:rsid w:val="008308E4"/>
    <w:rsid w:val="00832745"/>
    <w:rsid w:val="00836E09"/>
    <w:rsid w:val="00841037"/>
    <w:rsid w:val="00847053"/>
    <w:rsid w:val="008527A3"/>
    <w:rsid w:val="008529AE"/>
    <w:rsid w:val="00856ACB"/>
    <w:rsid w:val="008573C0"/>
    <w:rsid w:val="00860CB4"/>
    <w:rsid w:val="0086174B"/>
    <w:rsid w:val="008628B6"/>
    <w:rsid w:val="008660FC"/>
    <w:rsid w:val="00867CE8"/>
    <w:rsid w:val="00871238"/>
    <w:rsid w:val="008718FB"/>
    <w:rsid w:val="008728D3"/>
    <w:rsid w:val="008738C7"/>
    <w:rsid w:val="00873EB3"/>
    <w:rsid w:val="00877544"/>
    <w:rsid w:val="00882A92"/>
    <w:rsid w:val="00892A63"/>
    <w:rsid w:val="00897A94"/>
    <w:rsid w:val="008B02A0"/>
    <w:rsid w:val="008B30F4"/>
    <w:rsid w:val="008B3E8F"/>
    <w:rsid w:val="008C2EA3"/>
    <w:rsid w:val="008C3EE2"/>
    <w:rsid w:val="008C3F34"/>
    <w:rsid w:val="008C5A5B"/>
    <w:rsid w:val="008C5DD4"/>
    <w:rsid w:val="008D0998"/>
    <w:rsid w:val="008D0999"/>
    <w:rsid w:val="008D0CDC"/>
    <w:rsid w:val="008D2416"/>
    <w:rsid w:val="008D4308"/>
    <w:rsid w:val="008D47CD"/>
    <w:rsid w:val="008D4FB2"/>
    <w:rsid w:val="008D54D2"/>
    <w:rsid w:val="008F0B93"/>
    <w:rsid w:val="008F1C3A"/>
    <w:rsid w:val="008F219C"/>
    <w:rsid w:val="009010EA"/>
    <w:rsid w:val="00905542"/>
    <w:rsid w:val="009068D1"/>
    <w:rsid w:val="00910617"/>
    <w:rsid w:val="009110F4"/>
    <w:rsid w:val="009117DF"/>
    <w:rsid w:val="00911D98"/>
    <w:rsid w:val="00912012"/>
    <w:rsid w:val="00912E21"/>
    <w:rsid w:val="00913480"/>
    <w:rsid w:val="00915BD7"/>
    <w:rsid w:val="009171F0"/>
    <w:rsid w:val="009227C1"/>
    <w:rsid w:val="009316C6"/>
    <w:rsid w:val="00936915"/>
    <w:rsid w:val="0093695C"/>
    <w:rsid w:val="0093733B"/>
    <w:rsid w:val="00937C6F"/>
    <w:rsid w:val="0094142A"/>
    <w:rsid w:val="009420C5"/>
    <w:rsid w:val="00942301"/>
    <w:rsid w:val="009423A8"/>
    <w:rsid w:val="00943206"/>
    <w:rsid w:val="00944468"/>
    <w:rsid w:val="00945530"/>
    <w:rsid w:val="00964B3B"/>
    <w:rsid w:val="0096587C"/>
    <w:rsid w:val="00967C38"/>
    <w:rsid w:val="00970928"/>
    <w:rsid w:val="009715FF"/>
    <w:rsid w:val="00974516"/>
    <w:rsid w:val="00974CE5"/>
    <w:rsid w:val="00977D77"/>
    <w:rsid w:val="0098038C"/>
    <w:rsid w:val="00982795"/>
    <w:rsid w:val="009828C5"/>
    <w:rsid w:val="00985085"/>
    <w:rsid w:val="00986308"/>
    <w:rsid w:val="0099340E"/>
    <w:rsid w:val="009965E2"/>
    <w:rsid w:val="009A2C36"/>
    <w:rsid w:val="009A5A0E"/>
    <w:rsid w:val="009A735B"/>
    <w:rsid w:val="009B1DB4"/>
    <w:rsid w:val="009B37C0"/>
    <w:rsid w:val="009B3D6C"/>
    <w:rsid w:val="009B5AAD"/>
    <w:rsid w:val="009B6557"/>
    <w:rsid w:val="009B7356"/>
    <w:rsid w:val="009D0130"/>
    <w:rsid w:val="009D1DA8"/>
    <w:rsid w:val="009D6DF0"/>
    <w:rsid w:val="009D7073"/>
    <w:rsid w:val="009D70F5"/>
    <w:rsid w:val="009D7583"/>
    <w:rsid w:val="009E17C5"/>
    <w:rsid w:val="009E2475"/>
    <w:rsid w:val="009F23FE"/>
    <w:rsid w:val="009F2436"/>
    <w:rsid w:val="009F264D"/>
    <w:rsid w:val="009F66DC"/>
    <w:rsid w:val="00A00489"/>
    <w:rsid w:val="00A007CC"/>
    <w:rsid w:val="00A024A0"/>
    <w:rsid w:val="00A0299F"/>
    <w:rsid w:val="00A02E82"/>
    <w:rsid w:val="00A034B5"/>
    <w:rsid w:val="00A05EDE"/>
    <w:rsid w:val="00A07F98"/>
    <w:rsid w:val="00A137B9"/>
    <w:rsid w:val="00A16562"/>
    <w:rsid w:val="00A21E58"/>
    <w:rsid w:val="00A23C08"/>
    <w:rsid w:val="00A23EE2"/>
    <w:rsid w:val="00A244CA"/>
    <w:rsid w:val="00A314B3"/>
    <w:rsid w:val="00A370CF"/>
    <w:rsid w:val="00A4208E"/>
    <w:rsid w:val="00A454A7"/>
    <w:rsid w:val="00A47332"/>
    <w:rsid w:val="00A54B68"/>
    <w:rsid w:val="00A5599C"/>
    <w:rsid w:val="00A60E13"/>
    <w:rsid w:val="00A65913"/>
    <w:rsid w:val="00A66F9C"/>
    <w:rsid w:val="00A677FF"/>
    <w:rsid w:val="00A72AE8"/>
    <w:rsid w:val="00A733AF"/>
    <w:rsid w:val="00A75E15"/>
    <w:rsid w:val="00A76F36"/>
    <w:rsid w:val="00A815DD"/>
    <w:rsid w:val="00A83A81"/>
    <w:rsid w:val="00A84CAC"/>
    <w:rsid w:val="00A8501A"/>
    <w:rsid w:val="00A90707"/>
    <w:rsid w:val="00A92518"/>
    <w:rsid w:val="00A92605"/>
    <w:rsid w:val="00AA02CD"/>
    <w:rsid w:val="00AA1BE0"/>
    <w:rsid w:val="00AB10EE"/>
    <w:rsid w:val="00AB1C62"/>
    <w:rsid w:val="00AB5720"/>
    <w:rsid w:val="00AC488B"/>
    <w:rsid w:val="00AC7AE7"/>
    <w:rsid w:val="00AC7FA6"/>
    <w:rsid w:val="00AD292D"/>
    <w:rsid w:val="00AD3541"/>
    <w:rsid w:val="00AD53B7"/>
    <w:rsid w:val="00AE197A"/>
    <w:rsid w:val="00AE4F36"/>
    <w:rsid w:val="00AE5360"/>
    <w:rsid w:val="00AE6432"/>
    <w:rsid w:val="00AE70E4"/>
    <w:rsid w:val="00AF0E86"/>
    <w:rsid w:val="00AF33C2"/>
    <w:rsid w:val="00AF3F0B"/>
    <w:rsid w:val="00AF671E"/>
    <w:rsid w:val="00B006B1"/>
    <w:rsid w:val="00B01873"/>
    <w:rsid w:val="00B12E0C"/>
    <w:rsid w:val="00B14E36"/>
    <w:rsid w:val="00B1739C"/>
    <w:rsid w:val="00B22722"/>
    <w:rsid w:val="00B235A5"/>
    <w:rsid w:val="00B239C8"/>
    <w:rsid w:val="00B30457"/>
    <w:rsid w:val="00B32E11"/>
    <w:rsid w:val="00B34851"/>
    <w:rsid w:val="00B3517F"/>
    <w:rsid w:val="00B37FE9"/>
    <w:rsid w:val="00B40DE0"/>
    <w:rsid w:val="00B44771"/>
    <w:rsid w:val="00B46D80"/>
    <w:rsid w:val="00B52D53"/>
    <w:rsid w:val="00B53FFC"/>
    <w:rsid w:val="00B64FA3"/>
    <w:rsid w:val="00B65215"/>
    <w:rsid w:val="00B7058E"/>
    <w:rsid w:val="00B71209"/>
    <w:rsid w:val="00B71A2E"/>
    <w:rsid w:val="00B720A4"/>
    <w:rsid w:val="00B7303C"/>
    <w:rsid w:val="00B7398F"/>
    <w:rsid w:val="00B73EED"/>
    <w:rsid w:val="00B76E49"/>
    <w:rsid w:val="00B773EB"/>
    <w:rsid w:val="00B81C9C"/>
    <w:rsid w:val="00B83071"/>
    <w:rsid w:val="00B830DE"/>
    <w:rsid w:val="00B83E02"/>
    <w:rsid w:val="00B90F59"/>
    <w:rsid w:val="00B926BA"/>
    <w:rsid w:val="00B94344"/>
    <w:rsid w:val="00B95D99"/>
    <w:rsid w:val="00B96069"/>
    <w:rsid w:val="00B97B3C"/>
    <w:rsid w:val="00BA2D20"/>
    <w:rsid w:val="00BA62FE"/>
    <w:rsid w:val="00BA63ED"/>
    <w:rsid w:val="00BB19A2"/>
    <w:rsid w:val="00BB4FBA"/>
    <w:rsid w:val="00BB7F3B"/>
    <w:rsid w:val="00BD0B3A"/>
    <w:rsid w:val="00BD4003"/>
    <w:rsid w:val="00BD4102"/>
    <w:rsid w:val="00BD47B1"/>
    <w:rsid w:val="00BD5639"/>
    <w:rsid w:val="00BE0D72"/>
    <w:rsid w:val="00BE0DCD"/>
    <w:rsid w:val="00BE5B5E"/>
    <w:rsid w:val="00BE74E7"/>
    <w:rsid w:val="00BF4188"/>
    <w:rsid w:val="00BF45E6"/>
    <w:rsid w:val="00BF5BC5"/>
    <w:rsid w:val="00C009E0"/>
    <w:rsid w:val="00C025F2"/>
    <w:rsid w:val="00C0365E"/>
    <w:rsid w:val="00C06A82"/>
    <w:rsid w:val="00C07667"/>
    <w:rsid w:val="00C11422"/>
    <w:rsid w:val="00C11712"/>
    <w:rsid w:val="00C14457"/>
    <w:rsid w:val="00C14B21"/>
    <w:rsid w:val="00C16E50"/>
    <w:rsid w:val="00C1771F"/>
    <w:rsid w:val="00C21B0B"/>
    <w:rsid w:val="00C24545"/>
    <w:rsid w:val="00C24D51"/>
    <w:rsid w:val="00C25811"/>
    <w:rsid w:val="00C2639D"/>
    <w:rsid w:val="00C27A51"/>
    <w:rsid w:val="00C300DD"/>
    <w:rsid w:val="00C353D4"/>
    <w:rsid w:val="00C416FB"/>
    <w:rsid w:val="00C41B18"/>
    <w:rsid w:val="00C428DC"/>
    <w:rsid w:val="00C465D2"/>
    <w:rsid w:val="00C50485"/>
    <w:rsid w:val="00C5613A"/>
    <w:rsid w:val="00C56F85"/>
    <w:rsid w:val="00C61A10"/>
    <w:rsid w:val="00C649A5"/>
    <w:rsid w:val="00C668F2"/>
    <w:rsid w:val="00C7057A"/>
    <w:rsid w:val="00C71804"/>
    <w:rsid w:val="00C71D12"/>
    <w:rsid w:val="00C72C25"/>
    <w:rsid w:val="00C7618E"/>
    <w:rsid w:val="00C77679"/>
    <w:rsid w:val="00C80A89"/>
    <w:rsid w:val="00C84D7F"/>
    <w:rsid w:val="00C941EE"/>
    <w:rsid w:val="00C948FA"/>
    <w:rsid w:val="00CA1CB8"/>
    <w:rsid w:val="00CA25C6"/>
    <w:rsid w:val="00CA2ED6"/>
    <w:rsid w:val="00CA45D7"/>
    <w:rsid w:val="00CA5078"/>
    <w:rsid w:val="00CA6851"/>
    <w:rsid w:val="00CA7E68"/>
    <w:rsid w:val="00CB09AA"/>
    <w:rsid w:val="00CB114B"/>
    <w:rsid w:val="00CB3E7D"/>
    <w:rsid w:val="00CB53BD"/>
    <w:rsid w:val="00CB6870"/>
    <w:rsid w:val="00CB68EF"/>
    <w:rsid w:val="00CC52EC"/>
    <w:rsid w:val="00CD040D"/>
    <w:rsid w:val="00CD1858"/>
    <w:rsid w:val="00CD3258"/>
    <w:rsid w:val="00CD6F51"/>
    <w:rsid w:val="00CE67DC"/>
    <w:rsid w:val="00CE6E0D"/>
    <w:rsid w:val="00CE7973"/>
    <w:rsid w:val="00CF00B6"/>
    <w:rsid w:val="00CF27C2"/>
    <w:rsid w:val="00CF2BA2"/>
    <w:rsid w:val="00CF39C6"/>
    <w:rsid w:val="00CF4282"/>
    <w:rsid w:val="00D00D13"/>
    <w:rsid w:val="00D045BD"/>
    <w:rsid w:val="00D07D80"/>
    <w:rsid w:val="00D1162E"/>
    <w:rsid w:val="00D1202B"/>
    <w:rsid w:val="00D1299B"/>
    <w:rsid w:val="00D130D8"/>
    <w:rsid w:val="00D1516D"/>
    <w:rsid w:val="00D15457"/>
    <w:rsid w:val="00D163CF"/>
    <w:rsid w:val="00D17207"/>
    <w:rsid w:val="00D278B3"/>
    <w:rsid w:val="00D279B8"/>
    <w:rsid w:val="00D309A6"/>
    <w:rsid w:val="00D31EE1"/>
    <w:rsid w:val="00D37696"/>
    <w:rsid w:val="00D403A5"/>
    <w:rsid w:val="00D40786"/>
    <w:rsid w:val="00D464B6"/>
    <w:rsid w:val="00D46881"/>
    <w:rsid w:val="00D46EDB"/>
    <w:rsid w:val="00D47FF7"/>
    <w:rsid w:val="00D52092"/>
    <w:rsid w:val="00D526A6"/>
    <w:rsid w:val="00D55E33"/>
    <w:rsid w:val="00D55FDA"/>
    <w:rsid w:val="00D57492"/>
    <w:rsid w:val="00D57AB7"/>
    <w:rsid w:val="00D613D8"/>
    <w:rsid w:val="00D61B32"/>
    <w:rsid w:val="00D62631"/>
    <w:rsid w:val="00D634F6"/>
    <w:rsid w:val="00D6389F"/>
    <w:rsid w:val="00D67C76"/>
    <w:rsid w:val="00D73FA7"/>
    <w:rsid w:val="00D91DC8"/>
    <w:rsid w:val="00D940BB"/>
    <w:rsid w:val="00D95A8C"/>
    <w:rsid w:val="00DA0CFF"/>
    <w:rsid w:val="00DA429E"/>
    <w:rsid w:val="00DA5053"/>
    <w:rsid w:val="00DA5204"/>
    <w:rsid w:val="00DB05B5"/>
    <w:rsid w:val="00DB12DB"/>
    <w:rsid w:val="00DB2937"/>
    <w:rsid w:val="00DB5CE5"/>
    <w:rsid w:val="00DB664D"/>
    <w:rsid w:val="00DB6D08"/>
    <w:rsid w:val="00DC07EC"/>
    <w:rsid w:val="00DC1DF5"/>
    <w:rsid w:val="00DC5B92"/>
    <w:rsid w:val="00DD4CF9"/>
    <w:rsid w:val="00DD7907"/>
    <w:rsid w:val="00DE0355"/>
    <w:rsid w:val="00DE2258"/>
    <w:rsid w:val="00DE3AFB"/>
    <w:rsid w:val="00DE694D"/>
    <w:rsid w:val="00DF2343"/>
    <w:rsid w:val="00DF47B2"/>
    <w:rsid w:val="00DF4AD1"/>
    <w:rsid w:val="00DF6312"/>
    <w:rsid w:val="00DF7563"/>
    <w:rsid w:val="00E00271"/>
    <w:rsid w:val="00E005CA"/>
    <w:rsid w:val="00E05070"/>
    <w:rsid w:val="00E053D9"/>
    <w:rsid w:val="00E07C2C"/>
    <w:rsid w:val="00E12594"/>
    <w:rsid w:val="00E12C70"/>
    <w:rsid w:val="00E13871"/>
    <w:rsid w:val="00E1523B"/>
    <w:rsid w:val="00E2151B"/>
    <w:rsid w:val="00E21BC4"/>
    <w:rsid w:val="00E24808"/>
    <w:rsid w:val="00E33FBB"/>
    <w:rsid w:val="00E3451B"/>
    <w:rsid w:val="00E34C09"/>
    <w:rsid w:val="00E35F4E"/>
    <w:rsid w:val="00E43331"/>
    <w:rsid w:val="00E43721"/>
    <w:rsid w:val="00E441DB"/>
    <w:rsid w:val="00E45926"/>
    <w:rsid w:val="00E45A8A"/>
    <w:rsid w:val="00E50792"/>
    <w:rsid w:val="00E57BAB"/>
    <w:rsid w:val="00E62FC6"/>
    <w:rsid w:val="00E63668"/>
    <w:rsid w:val="00E65276"/>
    <w:rsid w:val="00E6684B"/>
    <w:rsid w:val="00E72316"/>
    <w:rsid w:val="00E74826"/>
    <w:rsid w:val="00E766E0"/>
    <w:rsid w:val="00E80C61"/>
    <w:rsid w:val="00E847C8"/>
    <w:rsid w:val="00E84FBD"/>
    <w:rsid w:val="00E859B3"/>
    <w:rsid w:val="00E97210"/>
    <w:rsid w:val="00E97C12"/>
    <w:rsid w:val="00EA383F"/>
    <w:rsid w:val="00EA4E3D"/>
    <w:rsid w:val="00EA7C8A"/>
    <w:rsid w:val="00EB4DB4"/>
    <w:rsid w:val="00EB6943"/>
    <w:rsid w:val="00EB6D40"/>
    <w:rsid w:val="00EC00F2"/>
    <w:rsid w:val="00EC2B6F"/>
    <w:rsid w:val="00EC66E0"/>
    <w:rsid w:val="00EC7D94"/>
    <w:rsid w:val="00ED3C65"/>
    <w:rsid w:val="00ED55FC"/>
    <w:rsid w:val="00ED6E38"/>
    <w:rsid w:val="00EE5C23"/>
    <w:rsid w:val="00EE7D4A"/>
    <w:rsid w:val="00EE7F57"/>
    <w:rsid w:val="00EF102A"/>
    <w:rsid w:val="00EF2E0F"/>
    <w:rsid w:val="00F00855"/>
    <w:rsid w:val="00F02BD0"/>
    <w:rsid w:val="00F058F4"/>
    <w:rsid w:val="00F07D43"/>
    <w:rsid w:val="00F11FE1"/>
    <w:rsid w:val="00F12D4C"/>
    <w:rsid w:val="00F142B7"/>
    <w:rsid w:val="00F154C2"/>
    <w:rsid w:val="00F3027D"/>
    <w:rsid w:val="00F33A43"/>
    <w:rsid w:val="00F3647F"/>
    <w:rsid w:val="00F36B3F"/>
    <w:rsid w:val="00F36C9A"/>
    <w:rsid w:val="00F42D78"/>
    <w:rsid w:val="00F456E4"/>
    <w:rsid w:val="00F461DB"/>
    <w:rsid w:val="00F5142E"/>
    <w:rsid w:val="00F521ED"/>
    <w:rsid w:val="00F5349F"/>
    <w:rsid w:val="00F54B40"/>
    <w:rsid w:val="00F569AB"/>
    <w:rsid w:val="00F61E72"/>
    <w:rsid w:val="00F637F1"/>
    <w:rsid w:val="00F66070"/>
    <w:rsid w:val="00F663C1"/>
    <w:rsid w:val="00F67446"/>
    <w:rsid w:val="00F67689"/>
    <w:rsid w:val="00F67EED"/>
    <w:rsid w:val="00F67FE1"/>
    <w:rsid w:val="00F70428"/>
    <w:rsid w:val="00F73E59"/>
    <w:rsid w:val="00F75EAB"/>
    <w:rsid w:val="00F821A1"/>
    <w:rsid w:val="00F85536"/>
    <w:rsid w:val="00F85BB0"/>
    <w:rsid w:val="00F90B32"/>
    <w:rsid w:val="00F96329"/>
    <w:rsid w:val="00F973F1"/>
    <w:rsid w:val="00F97AD8"/>
    <w:rsid w:val="00FA445B"/>
    <w:rsid w:val="00FA7320"/>
    <w:rsid w:val="00FA7513"/>
    <w:rsid w:val="00FB0742"/>
    <w:rsid w:val="00FB092E"/>
    <w:rsid w:val="00FB0AAA"/>
    <w:rsid w:val="00FB1385"/>
    <w:rsid w:val="00FB460C"/>
    <w:rsid w:val="00FC1511"/>
    <w:rsid w:val="00FC2620"/>
    <w:rsid w:val="00FC282E"/>
    <w:rsid w:val="00FC29D9"/>
    <w:rsid w:val="00FC6CA1"/>
    <w:rsid w:val="00FD19DA"/>
    <w:rsid w:val="00FD3628"/>
    <w:rsid w:val="00FD59C0"/>
    <w:rsid w:val="00FD6BC4"/>
    <w:rsid w:val="00FD6D01"/>
    <w:rsid w:val="00FE0148"/>
    <w:rsid w:val="00FE042B"/>
    <w:rsid w:val="00FE1F32"/>
    <w:rsid w:val="00FE1FF6"/>
    <w:rsid w:val="00FE3229"/>
    <w:rsid w:val="00FE3264"/>
    <w:rsid w:val="00FE3B5D"/>
    <w:rsid w:val="00FE56D7"/>
    <w:rsid w:val="00FE5DF4"/>
    <w:rsid w:val="00FE757A"/>
    <w:rsid w:val="00FE779F"/>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74BF"/>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link w:val="ListParagraphChar"/>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tabs>
        <w:tab w:val="right" w:leader="dot" w:pos="9736"/>
      </w:tabs>
      <w:spacing w:before="60" w:after="0"/>
    </w:pPr>
    <w:rPr>
      <w:rFonts w:asciiTheme="minorHAnsi" w:hAnsiTheme="minorHAnsi"/>
      <w:b/>
      <w:bCs/>
      <w:cap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571A16"/>
    <w:pPr>
      <w:tabs>
        <w:tab w:val="left" w:pos="993"/>
        <w:tab w:val="right" w:leader="dot" w:pos="9736"/>
      </w:tabs>
      <w:spacing w:after="0"/>
      <w:ind w:left="567"/>
    </w:pPr>
    <w:rPr>
      <w:rFonts w:asciiTheme="minorHAnsi" w:hAnsiTheme="minorHAnsi"/>
      <w:smallCaps/>
      <w:szCs w:val="20"/>
    </w:rPr>
  </w:style>
  <w:style w:type="paragraph" w:styleId="TOC3">
    <w:name w:val="toc 3"/>
    <w:basedOn w:val="Normal"/>
    <w:next w:val="Normal"/>
    <w:autoRedefine/>
    <w:uiPriority w:val="39"/>
    <w:unhideWhenUsed/>
    <w:rsid w:val="00F11FE1"/>
    <w:pPr>
      <w:tabs>
        <w:tab w:val="right" w:leader="dot" w:pos="9781"/>
      </w:tabs>
      <w:spacing w:after="0"/>
      <w:ind w:left="720" w:firstLine="1265"/>
    </w:pPr>
    <w:rPr>
      <w:rFonts w:asciiTheme="minorHAnsi" w:hAnsiTheme="minorHAnsi"/>
      <w:iCs/>
      <w:noProof/>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790DB0"/>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790DB0"/>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790DB0"/>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790DB0"/>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790DB0"/>
    <w:pPr>
      <w:spacing w:after="0"/>
      <w:ind w:left="1600"/>
    </w:pPr>
    <w:rPr>
      <w:rFonts w:asciiTheme="minorHAnsi" w:hAnsiTheme="minorHAnsi"/>
      <w:sz w:val="18"/>
      <w:szCs w:val="18"/>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numbering" w:customStyle="1" w:styleId="NoList1">
    <w:name w:val="No List1"/>
    <w:next w:val="NoList"/>
    <w:uiPriority w:val="99"/>
    <w:semiHidden/>
    <w:unhideWhenUsed/>
    <w:rsid w:val="00751E87"/>
  </w:style>
  <w:style w:type="table" w:customStyle="1" w:styleId="TableGrid1">
    <w:name w:val="Table Grid1"/>
    <w:basedOn w:val="TableNormal"/>
    <w:next w:val="TableGrid"/>
    <w:uiPriority w:val="59"/>
    <w:rsid w:val="0075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link w:val="SummaryChar"/>
    <w:qFormat/>
    <w:rsid w:val="009227C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pPr>
    <w:rPr>
      <w:rFonts w:eastAsiaTheme="majorEastAsia" w:cstheme="minorHAnsi"/>
      <w:sz w:val="20"/>
      <w:szCs w:val="26"/>
      <w:lang w:eastAsia="en-AU"/>
    </w:rPr>
  </w:style>
  <w:style w:type="character" w:customStyle="1" w:styleId="SummaryChar">
    <w:name w:val="Summary Char"/>
    <w:basedOn w:val="Heading2Char"/>
    <w:link w:val="Summary"/>
    <w:rsid w:val="009227C1"/>
    <w:rPr>
      <w:rFonts w:eastAsiaTheme="majorEastAsia" w:cstheme="minorHAnsi"/>
      <w:b w:val="0"/>
      <w:bCs w:val="0"/>
      <w:sz w:val="20"/>
      <w:szCs w:val="26"/>
      <w:lang w:eastAsia="en-AU"/>
    </w:rPr>
  </w:style>
  <w:style w:type="paragraph" w:customStyle="1" w:styleId="Linebullet">
    <w:name w:val="Line bullet"/>
    <w:basedOn w:val="Body"/>
    <w:link w:val="LinebulletChar"/>
    <w:qFormat/>
    <w:rsid w:val="009227C1"/>
    <w:pPr>
      <w:numPr>
        <w:numId w:val="1"/>
      </w:numPr>
      <w:spacing w:after="120"/>
      <w:contextualSpacing/>
    </w:pPr>
  </w:style>
  <w:style w:type="character" w:customStyle="1" w:styleId="LinebulletChar">
    <w:name w:val="Line bullet Char"/>
    <w:basedOn w:val="BodyChar"/>
    <w:link w:val="Linebullet"/>
    <w:rsid w:val="009227C1"/>
    <w:rPr>
      <w:sz w:val="21"/>
      <w:lang w:eastAsia="en-AU"/>
    </w:rPr>
  </w:style>
  <w:style w:type="paragraph" w:customStyle="1" w:styleId="Tablebody">
    <w:name w:val="Table body"/>
    <w:basedOn w:val="Body"/>
    <w:link w:val="TablebodyChar"/>
    <w:qFormat/>
    <w:rsid w:val="009227C1"/>
    <w:pPr>
      <w:spacing w:after="0" w:line="276" w:lineRule="auto"/>
    </w:pPr>
    <w:rPr>
      <w:sz w:val="18"/>
    </w:rPr>
  </w:style>
  <w:style w:type="character" w:customStyle="1" w:styleId="TablebodyChar">
    <w:name w:val="Table body Char"/>
    <w:basedOn w:val="BodyChar"/>
    <w:link w:val="Tablebody"/>
    <w:rsid w:val="009227C1"/>
    <w:rPr>
      <w:sz w:val="18"/>
      <w:lang w:eastAsia="en-AU"/>
    </w:rPr>
  </w:style>
  <w:style w:type="paragraph" w:styleId="TOCHeading">
    <w:name w:val="TOC Heading"/>
    <w:basedOn w:val="Heading1"/>
    <w:next w:val="Normal"/>
    <w:uiPriority w:val="39"/>
    <w:unhideWhenUsed/>
    <w:qFormat/>
    <w:rsid w:val="00CF39C6"/>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BodyCopy">
    <w:name w:val="Body Copy"/>
    <w:basedOn w:val="Normal"/>
    <w:link w:val="BodyCopyChar"/>
    <w:qFormat/>
    <w:rsid w:val="005201A4"/>
    <w:pPr>
      <w:spacing w:line="300" w:lineRule="auto"/>
    </w:pPr>
    <w:rPr>
      <w:rFonts w:asciiTheme="minorHAnsi" w:eastAsia="Calibri" w:hAnsiTheme="minorHAnsi" w:cs="Times New Roman"/>
      <w:bCs/>
      <w:sz w:val="22"/>
      <w:szCs w:val="20"/>
      <w:lang w:eastAsia="en-AU"/>
    </w:rPr>
  </w:style>
  <w:style w:type="character" w:customStyle="1" w:styleId="ListParagraphChar">
    <w:name w:val="List Paragraph Char"/>
    <w:basedOn w:val="DefaultParagraphFont"/>
    <w:link w:val="ListParagraph"/>
    <w:uiPriority w:val="34"/>
    <w:rsid w:val="005201A4"/>
    <w:rPr>
      <w:rFonts w:ascii="Calibri Light" w:hAnsi="Calibri Light"/>
      <w:sz w:val="20"/>
    </w:rPr>
  </w:style>
  <w:style w:type="character" w:customStyle="1" w:styleId="BodyCopyChar">
    <w:name w:val="Body Copy Char"/>
    <w:basedOn w:val="DefaultParagraphFont"/>
    <w:link w:val="BodyCopy"/>
    <w:rsid w:val="005201A4"/>
    <w:rPr>
      <w:rFonts w:eastAsia="Calibri" w:cs="Times New Roman"/>
      <w:bC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37523016">
      <w:bodyDiv w:val="1"/>
      <w:marLeft w:val="0"/>
      <w:marRight w:val="0"/>
      <w:marTop w:val="0"/>
      <w:marBottom w:val="0"/>
      <w:divBdr>
        <w:top w:val="none" w:sz="0" w:space="0" w:color="auto"/>
        <w:left w:val="none" w:sz="0" w:space="0" w:color="auto"/>
        <w:bottom w:val="none" w:sz="0" w:space="0" w:color="auto"/>
        <w:right w:val="none" w:sz="0" w:space="0" w:color="auto"/>
      </w:divBdr>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22461620">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27202913">
      <w:bodyDiv w:val="1"/>
      <w:marLeft w:val="0"/>
      <w:marRight w:val="0"/>
      <w:marTop w:val="0"/>
      <w:marBottom w:val="0"/>
      <w:divBdr>
        <w:top w:val="none" w:sz="0" w:space="0" w:color="auto"/>
        <w:left w:val="none" w:sz="0" w:space="0" w:color="auto"/>
        <w:bottom w:val="none" w:sz="0" w:space="0" w:color="auto"/>
        <w:right w:val="none" w:sz="0" w:space="0" w:color="auto"/>
      </w:divBdr>
    </w:div>
    <w:div w:id="632903721">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81993442">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19468146">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19880337">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154295539">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35915876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A568-2884-4C52-904D-947AB06E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2018-03-11T22:52:00Z</cp:lastPrinted>
  <dcterms:created xsi:type="dcterms:W3CDTF">2019-07-22T04:55:00Z</dcterms:created>
  <dcterms:modified xsi:type="dcterms:W3CDTF">2019-07-22T04:55:00Z</dcterms:modified>
</cp:coreProperties>
</file>