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DF913" w14:textId="5DB54B15" w:rsidR="00FB73B5" w:rsidRPr="006F4CC5" w:rsidRDefault="00FB73B5" w:rsidP="00FB73B5">
      <w:pPr>
        <w:spacing w:after="80" w:line="288" w:lineRule="auto"/>
        <w:ind w:right="283"/>
        <w:outlineLvl w:val="3"/>
        <w:rPr>
          <w:rFonts w:eastAsia="Calibri" w:cs="Times New Roman"/>
          <w:b/>
          <w:sz w:val="21"/>
        </w:rPr>
      </w:pPr>
      <w:bookmarkStart w:id="0" w:name="_GoBack"/>
      <w:bookmarkEnd w:id="0"/>
      <w:r w:rsidRPr="006F4CC5">
        <w:rPr>
          <w:rFonts w:eastAsia="Calibri" w:cs="Times New Roman"/>
          <w:b/>
          <w:sz w:val="21"/>
        </w:rPr>
        <w:t xml:space="preserve">The </w:t>
      </w:r>
      <w:sdt>
        <w:sdtPr>
          <w:rPr>
            <w:rFonts w:eastAsia="Calibri" w:cs="Times New Roman"/>
            <w:b/>
            <w:color w:val="FF0000"/>
            <w:sz w:val="21"/>
            <w:highlight w:val="yellow"/>
          </w:rPr>
          <w:alias w:val="Company"/>
          <w:tag w:val=""/>
          <w:id w:val="-1752883099"/>
          <w:placeholder>
            <w:docPart w:val="A2B660708CC64D37846DA9EC700D847A"/>
          </w:placeholder>
          <w:showingPlcHdr/>
          <w:dataBinding w:prefixMappings="xmlns:ns0='http://schemas.openxmlformats.org/officeDocument/2006/extended-properties' " w:xpath="/ns0:Properties[1]/ns0:Company[1]" w:storeItemID="{6668398D-A668-4E3E-A5EB-62B293D839F1}"/>
          <w:text/>
        </w:sdtPr>
        <w:sdtEndPr/>
        <w:sdtContent>
          <w:r w:rsidRPr="001A4467">
            <w:rPr>
              <w:rStyle w:val="PlaceholderText"/>
              <w:b/>
              <w:color w:val="FF0000"/>
              <w:highlight w:val="yellow"/>
            </w:rPr>
            <w:t>[Company]</w:t>
          </w:r>
        </w:sdtContent>
      </w:sdt>
      <w:r w:rsidRPr="001A4467">
        <w:rPr>
          <w:rFonts w:eastAsia="Calibri" w:cs="Times New Roman"/>
          <w:b/>
          <w:color w:val="FF0000"/>
          <w:sz w:val="21"/>
        </w:rPr>
        <w:t xml:space="preserve"> </w:t>
      </w:r>
      <w:r w:rsidRPr="006F4CC5">
        <w:rPr>
          <w:rFonts w:eastAsia="Calibri" w:cs="Times New Roman"/>
          <w:b/>
          <w:sz w:val="21"/>
        </w:rPr>
        <w:t>Quality Management System relates to the management and provision of services and products delivered from the following service locations:</w:t>
      </w:r>
    </w:p>
    <w:p w14:paraId="0A8944F8" w14:textId="0496FD96" w:rsidR="00FB73B5" w:rsidRPr="00C145E2" w:rsidRDefault="00FB73B5" w:rsidP="00FB73B5">
      <w:pPr>
        <w:pStyle w:val="ListParagraph"/>
        <w:numPr>
          <w:ilvl w:val="1"/>
          <w:numId w:val="3"/>
        </w:numPr>
        <w:tabs>
          <w:tab w:val="left" w:pos="1134"/>
        </w:tabs>
        <w:spacing w:after="60" w:line="276" w:lineRule="auto"/>
        <w:ind w:left="1134" w:hanging="414"/>
        <w:contextualSpacing/>
        <w:rPr>
          <w:rFonts w:asciiTheme="minorHAnsi" w:hAnsiTheme="minorHAnsi"/>
          <w:color w:val="FF0000"/>
          <w:sz w:val="21"/>
        </w:rPr>
      </w:pPr>
      <w:r w:rsidRPr="009D74EA">
        <w:rPr>
          <w:rFonts w:asciiTheme="minorHAnsi" w:hAnsiTheme="minorHAnsi"/>
          <w:color w:val="000000" w:themeColor="text1"/>
          <w:sz w:val="21"/>
        </w:rPr>
        <w:t>Insert address for each location services are provided from</w:t>
      </w:r>
      <w:r w:rsidR="009D74EA">
        <w:rPr>
          <w:rFonts w:asciiTheme="minorHAnsi" w:hAnsiTheme="minorHAnsi"/>
          <w:color w:val="000000" w:themeColor="text1"/>
          <w:sz w:val="21"/>
        </w:rPr>
        <w:t xml:space="preserve"> e.g. </w:t>
      </w:r>
      <w:r w:rsidR="009D74EA" w:rsidRPr="009D74EA">
        <w:rPr>
          <w:rFonts w:asciiTheme="minorHAnsi" w:hAnsiTheme="minorHAnsi"/>
          <w:color w:val="FF0000"/>
          <w:sz w:val="21"/>
        </w:rPr>
        <w:t>Clinic address</w:t>
      </w:r>
    </w:p>
    <w:p w14:paraId="4F278342" w14:textId="7CDD83C2" w:rsidR="00FB73B5" w:rsidRPr="00C145E2" w:rsidRDefault="009D74EA" w:rsidP="00FB73B5">
      <w:pPr>
        <w:pStyle w:val="ListParagraph"/>
        <w:numPr>
          <w:ilvl w:val="1"/>
          <w:numId w:val="3"/>
        </w:numPr>
        <w:tabs>
          <w:tab w:val="left" w:pos="1134"/>
        </w:tabs>
        <w:spacing w:after="60" w:line="276" w:lineRule="auto"/>
        <w:ind w:left="1134" w:hanging="414"/>
        <w:contextualSpacing/>
        <w:rPr>
          <w:rFonts w:asciiTheme="minorHAnsi" w:hAnsiTheme="minorHAnsi"/>
          <w:color w:val="FF0000"/>
          <w:sz w:val="21"/>
        </w:rPr>
      </w:pPr>
      <w:r>
        <w:rPr>
          <w:rFonts w:asciiTheme="minorHAnsi" w:hAnsiTheme="minorHAnsi"/>
          <w:color w:val="FF0000"/>
          <w:sz w:val="21"/>
        </w:rPr>
        <w:t>…</w:t>
      </w:r>
    </w:p>
    <w:p w14:paraId="39E3586A" w14:textId="5914A9C1" w:rsidR="00FB73B5" w:rsidRDefault="00FB73B5" w:rsidP="00FB73B5">
      <w:pPr>
        <w:pStyle w:val="ListParagraph"/>
        <w:numPr>
          <w:ilvl w:val="1"/>
          <w:numId w:val="3"/>
        </w:numPr>
        <w:tabs>
          <w:tab w:val="left" w:pos="1134"/>
        </w:tabs>
        <w:spacing w:after="60" w:line="276" w:lineRule="auto"/>
        <w:ind w:left="1134" w:hanging="414"/>
        <w:contextualSpacing/>
        <w:rPr>
          <w:color w:val="FF0000"/>
          <w:sz w:val="21"/>
        </w:rPr>
      </w:pPr>
      <w:r w:rsidRPr="00C145E2">
        <w:rPr>
          <w:color w:val="FF0000"/>
          <w:sz w:val="21"/>
        </w:rPr>
        <w:t>…</w:t>
      </w:r>
    </w:p>
    <w:p w14:paraId="08C129C2" w14:textId="77777777" w:rsidR="009D74EA" w:rsidRPr="00C145E2" w:rsidRDefault="009D74EA" w:rsidP="009D74EA">
      <w:pPr>
        <w:pStyle w:val="ListParagraph"/>
        <w:tabs>
          <w:tab w:val="left" w:pos="1134"/>
        </w:tabs>
        <w:spacing w:after="60" w:line="276" w:lineRule="auto"/>
        <w:ind w:left="1134"/>
        <w:contextualSpacing/>
        <w:rPr>
          <w:color w:val="FF0000"/>
          <w:sz w:val="21"/>
        </w:rPr>
      </w:pPr>
    </w:p>
    <w:p w14:paraId="61C3A163" w14:textId="77777777" w:rsidR="00FB73B5" w:rsidRPr="006F4CC5" w:rsidRDefault="00FB73B5" w:rsidP="00FB73B5">
      <w:pPr>
        <w:spacing w:after="80" w:line="288" w:lineRule="auto"/>
        <w:ind w:right="283"/>
        <w:outlineLvl w:val="3"/>
        <w:rPr>
          <w:rFonts w:eastAsia="Calibri" w:cs="Times New Roman"/>
          <w:b/>
          <w:sz w:val="21"/>
        </w:rPr>
      </w:pPr>
      <w:r w:rsidRPr="006F4CC5">
        <w:rPr>
          <w:rFonts w:eastAsia="Calibri" w:cs="Times New Roman"/>
          <w:b/>
          <w:sz w:val="21"/>
        </w:rPr>
        <w:t>Services provided from these locations include:</w:t>
      </w:r>
    </w:p>
    <w:p w14:paraId="29134CBA" w14:textId="77777777" w:rsidR="00FB73B5" w:rsidRPr="00C145E2" w:rsidRDefault="00FB73B5" w:rsidP="00FB73B5">
      <w:pPr>
        <w:pStyle w:val="ListParagraph"/>
        <w:numPr>
          <w:ilvl w:val="1"/>
          <w:numId w:val="3"/>
        </w:numPr>
        <w:tabs>
          <w:tab w:val="left" w:pos="1134"/>
        </w:tabs>
        <w:spacing w:after="60" w:line="276" w:lineRule="auto"/>
        <w:ind w:left="1134" w:hanging="414"/>
        <w:contextualSpacing/>
        <w:rPr>
          <w:rFonts w:asciiTheme="minorHAnsi" w:hAnsiTheme="minorHAnsi"/>
          <w:color w:val="FF0000"/>
          <w:sz w:val="21"/>
        </w:rPr>
      </w:pPr>
      <w:r w:rsidRPr="009D74EA">
        <w:rPr>
          <w:rFonts w:asciiTheme="minorHAnsi" w:hAnsiTheme="minorHAnsi"/>
          <w:color w:val="000000" w:themeColor="text1"/>
          <w:sz w:val="21"/>
        </w:rPr>
        <w:t xml:space="preserve">Insert type of services provided, e.g. </w:t>
      </w:r>
      <w:r w:rsidRPr="00C145E2">
        <w:rPr>
          <w:rFonts w:asciiTheme="minorHAnsi" w:hAnsiTheme="minorHAnsi"/>
          <w:color w:val="FF0000"/>
          <w:sz w:val="21"/>
        </w:rPr>
        <w:t>Primary health care services</w:t>
      </w:r>
    </w:p>
    <w:p w14:paraId="6473356A" w14:textId="77777777" w:rsidR="00FB73B5" w:rsidRPr="00C145E2" w:rsidRDefault="00FB73B5" w:rsidP="00FB73B5">
      <w:pPr>
        <w:pStyle w:val="ListParagraph"/>
        <w:numPr>
          <w:ilvl w:val="1"/>
          <w:numId w:val="3"/>
        </w:numPr>
        <w:tabs>
          <w:tab w:val="left" w:pos="1134"/>
        </w:tabs>
        <w:spacing w:after="60" w:line="276" w:lineRule="auto"/>
        <w:ind w:left="1134" w:hanging="414"/>
        <w:contextualSpacing/>
        <w:rPr>
          <w:rFonts w:asciiTheme="minorHAnsi" w:hAnsiTheme="minorHAnsi"/>
          <w:color w:val="FF0000"/>
          <w:sz w:val="21"/>
        </w:rPr>
      </w:pPr>
      <w:r w:rsidRPr="00C145E2">
        <w:rPr>
          <w:rFonts w:asciiTheme="minorHAnsi" w:hAnsiTheme="minorHAnsi"/>
          <w:color w:val="FF0000"/>
          <w:sz w:val="21"/>
        </w:rPr>
        <w:t xml:space="preserve">SEWB services </w:t>
      </w:r>
    </w:p>
    <w:p w14:paraId="32D5060A" w14:textId="77777777" w:rsidR="00FB73B5" w:rsidRPr="00C145E2" w:rsidRDefault="00FB73B5" w:rsidP="00FB73B5">
      <w:pPr>
        <w:pStyle w:val="ListParagraph"/>
        <w:numPr>
          <w:ilvl w:val="1"/>
          <w:numId w:val="3"/>
        </w:numPr>
        <w:tabs>
          <w:tab w:val="left" w:pos="1134"/>
        </w:tabs>
        <w:spacing w:after="60" w:line="276" w:lineRule="auto"/>
        <w:ind w:left="1134" w:hanging="414"/>
        <w:contextualSpacing/>
        <w:rPr>
          <w:rFonts w:asciiTheme="minorHAnsi" w:hAnsiTheme="minorHAnsi"/>
          <w:color w:val="FF0000"/>
          <w:sz w:val="21"/>
        </w:rPr>
      </w:pPr>
      <w:r w:rsidRPr="00C145E2">
        <w:rPr>
          <w:rFonts w:asciiTheme="minorHAnsi" w:hAnsiTheme="minorHAnsi"/>
          <w:color w:val="FF0000"/>
          <w:sz w:val="21"/>
        </w:rPr>
        <w:t xml:space="preserve">Allied health care services </w:t>
      </w:r>
    </w:p>
    <w:p w14:paraId="31558201" w14:textId="77777777" w:rsidR="00FB73B5" w:rsidRPr="00C145E2" w:rsidRDefault="00FB73B5" w:rsidP="00FB73B5">
      <w:pPr>
        <w:pStyle w:val="ListParagraph"/>
        <w:numPr>
          <w:ilvl w:val="1"/>
          <w:numId w:val="3"/>
        </w:numPr>
        <w:tabs>
          <w:tab w:val="left" w:pos="1134"/>
        </w:tabs>
        <w:spacing w:after="60" w:line="276" w:lineRule="auto"/>
        <w:ind w:left="1134" w:hanging="414"/>
        <w:contextualSpacing/>
        <w:rPr>
          <w:rFonts w:asciiTheme="minorHAnsi" w:hAnsiTheme="minorHAnsi"/>
          <w:color w:val="FF0000"/>
          <w:sz w:val="21"/>
        </w:rPr>
      </w:pPr>
      <w:r w:rsidRPr="00C145E2">
        <w:rPr>
          <w:rFonts w:asciiTheme="minorHAnsi" w:hAnsiTheme="minorHAnsi"/>
          <w:color w:val="FF0000"/>
          <w:sz w:val="21"/>
        </w:rPr>
        <w:t>Transport services</w:t>
      </w:r>
    </w:p>
    <w:p w14:paraId="35330DDC" w14:textId="4B60B1BC" w:rsidR="00FB73B5" w:rsidRPr="00FB73B5" w:rsidRDefault="00FB73B5" w:rsidP="00FB73B5">
      <w:pPr>
        <w:pStyle w:val="ListParagraph"/>
        <w:numPr>
          <w:ilvl w:val="1"/>
          <w:numId w:val="3"/>
        </w:numPr>
        <w:tabs>
          <w:tab w:val="left" w:pos="1134"/>
        </w:tabs>
        <w:spacing w:after="60" w:line="276" w:lineRule="auto"/>
        <w:ind w:left="1134" w:hanging="414"/>
        <w:contextualSpacing/>
        <w:rPr>
          <w:rFonts w:asciiTheme="minorHAnsi" w:hAnsiTheme="minorHAnsi"/>
          <w:color w:val="FF0000"/>
          <w:sz w:val="21"/>
        </w:rPr>
      </w:pPr>
      <w:r w:rsidRPr="00C145E2">
        <w:rPr>
          <w:rFonts w:asciiTheme="minorHAnsi" w:hAnsiTheme="minorHAnsi"/>
          <w:color w:val="FF0000"/>
          <w:sz w:val="21"/>
        </w:rPr>
        <w:t>…</w:t>
      </w:r>
    </w:p>
    <w:p w14:paraId="0F26BA0E" w14:textId="77777777" w:rsidR="00FB73B5" w:rsidRDefault="00FB73B5" w:rsidP="00FB73B5">
      <w:pPr>
        <w:spacing w:after="80" w:line="288" w:lineRule="auto"/>
        <w:ind w:right="283"/>
        <w:outlineLvl w:val="3"/>
        <w:rPr>
          <w:rFonts w:eastAsia="Calibri" w:cs="Times New Roman"/>
          <w:b/>
          <w:sz w:val="21"/>
        </w:rPr>
      </w:pPr>
    </w:p>
    <w:p w14:paraId="02A78A2A" w14:textId="6A1DAA9A" w:rsidR="00FB73B5" w:rsidRPr="00CE46AB" w:rsidRDefault="00FB73B5" w:rsidP="00FB73B5">
      <w:pPr>
        <w:spacing w:after="80" w:line="288" w:lineRule="auto"/>
        <w:ind w:right="283"/>
        <w:outlineLvl w:val="3"/>
        <w:rPr>
          <w:rFonts w:eastAsia="Calibri" w:cs="Times New Roman"/>
          <w:b/>
          <w:sz w:val="21"/>
        </w:rPr>
      </w:pPr>
      <w:r>
        <w:rPr>
          <w:rFonts w:eastAsia="Calibri" w:cs="Times New Roman"/>
          <w:b/>
          <w:sz w:val="21"/>
        </w:rPr>
        <w:t>Not Applicable ISO 9001 Requirements</w:t>
      </w:r>
    </w:p>
    <w:p w14:paraId="706C2D8B" w14:textId="311C295E" w:rsidR="00FB73B5" w:rsidRPr="00030BCB" w:rsidRDefault="00FB73B5" w:rsidP="00FB73B5">
      <w:pPr>
        <w:pStyle w:val="Body"/>
        <w:ind w:left="0"/>
        <w:rPr>
          <w:rFonts w:asciiTheme="minorHAnsi" w:hAnsiTheme="minorHAnsi"/>
        </w:rPr>
      </w:pPr>
      <w:r w:rsidRPr="00030BCB">
        <w:rPr>
          <w:rFonts w:asciiTheme="minorHAnsi" w:hAnsiTheme="minorHAnsi"/>
        </w:rPr>
        <w:t>ISO</w:t>
      </w:r>
      <w:r>
        <w:rPr>
          <w:rFonts w:asciiTheme="minorHAnsi" w:hAnsiTheme="minorHAnsi"/>
        </w:rPr>
        <w:t xml:space="preserve"> 9001 QMS Requirements clauses not applicable to the scope</w:t>
      </w:r>
      <w:r w:rsidR="006F4CC5">
        <w:rPr>
          <w:rFonts w:asciiTheme="minorHAnsi" w:hAnsiTheme="minorHAnsi"/>
        </w:rPr>
        <w:t>:</w:t>
      </w:r>
    </w:p>
    <w:p w14:paraId="011C27DC" w14:textId="6DC59E4D" w:rsidR="00FB73B5" w:rsidRPr="006F4CC5" w:rsidRDefault="00FB73B5" w:rsidP="006F4CC5">
      <w:pPr>
        <w:pStyle w:val="ListParagraph"/>
        <w:numPr>
          <w:ilvl w:val="1"/>
          <w:numId w:val="3"/>
        </w:numPr>
        <w:tabs>
          <w:tab w:val="left" w:pos="1134"/>
        </w:tabs>
        <w:spacing w:after="60" w:line="276" w:lineRule="auto"/>
        <w:ind w:left="1134" w:hanging="414"/>
        <w:contextualSpacing/>
        <w:rPr>
          <w:rFonts w:asciiTheme="minorHAnsi" w:hAnsiTheme="minorHAnsi"/>
          <w:color w:val="FF0000"/>
          <w:sz w:val="21"/>
        </w:rPr>
      </w:pPr>
      <w:r w:rsidRPr="006F4CC5">
        <w:rPr>
          <w:rFonts w:asciiTheme="minorHAnsi" w:hAnsiTheme="minorHAnsi"/>
          <w:color w:val="000000" w:themeColor="text1"/>
          <w:sz w:val="21"/>
        </w:rPr>
        <w:t xml:space="preserve">8.3 Design and Development of Products and Services (incorporating subclauses 8.3.1 to 8.3.6), as  </w:t>
      </w:r>
      <w:sdt>
        <w:sdtPr>
          <w:rPr>
            <w:rFonts w:asciiTheme="minorHAnsi" w:hAnsiTheme="minorHAnsi"/>
            <w:color w:val="FF0000"/>
            <w:sz w:val="21"/>
          </w:rPr>
          <w:alias w:val="Company"/>
          <w:tag w:val=""/>
          <w:id w:val="1542401614"/>
          <w:placeholder>
            <w:docPart w:val="C13D74BA24D444C79D7B3E00BDD70BF5"/>
          </w:placeholder>
          <w:showingPlcHdr/>
          <w:dataBinding w:prefixMappings="xmlns:ns0='http://schemas.openxmlformats.org/officeDocument/2006/extended-properties' " w:xpath="/ns0:Properties[1]/ns0:Company[1]" w:storeItemID="{6668398D-A668-4E3E-A5EB-62B293D839F1}"/>
          <w:text/>
        </w:sdtPr>
        <w:sdtEndPr/>
        <w:sdtContent>
          <w:r w:rsidRPr="006F4CC5">
            <w:rPr>
              <w:rFonts w:asciiTheme="minorHAnsi" w:hAnsiTheme="minorHAnsi"/>
              <w:color w:val="FF0000"/>
              <w:sz w:val="21"/>
            </w:rPr>
            <w:t>[Company]</w:t>
          </w:r>
        </w:sdtContent>
      </w:sdt>
      <w:r w:rsidRPr="006F4CC5">
        <w:rPr>
          <w:rFonts w:asciiTheme="minorHAnsi" w:hAnsiTheme="minorHAnsi"/>
          <w:color w:val="FF0000"/>
          <w:sz w:val="21"/>
        </w:rPr>
        <w:t xml:space="preserve"> </w:t>
      </w:r>
      <w:r w:rsidRPr="006F4CC5">
        <w:rPr>
          <w:rFonts w:asciiTheme="minorHAnsi" w:hAnsiTheme="minorHAnsi"/>
          <w:color w:val="000000" w:themeColor="text1"/>
          <w:sz w:val="21"/>
        </w:rPr>
        <w:t>does not develop products or services.</w:t>
      </w:r>
    </w:p>
    <w:p w14:paraId="15A45DF5" w14:textId="77777777" w:rsidR="006F4CC5" w:rsidRDefault="006F4CC5"/>
    <w:p w14:paraId="7D877E95" w14:textId="091E3FC1" w:rsidR="00FB73B5" w:rsidRDefault="00FB73B5">
      <w:pPr>
        <w:rPr>
          <w:b/>
        </w:rPr>
      </w:pPr>
      <w:r w:rsidRPr="009D74EA">
        <w:rPr>
          <w:b/>
        </w:rPr>
        <w:t xml:space="preserve">The following table outlines the scope of the LOGIQC Quality Management System (QMS) based on the scope of each register/module in the </w:t>
      </w:r>
      <w:r w:rsidR="009D74EA" w:rsidRPr="009D74EA">
        <w:rPr>
          <w:b/>
        </w:rPr>
        <w:t xml:space="preserve">LOGIQC </w:t>
      </w:r>
      <w:r w:rsidRPr="009D74EA">
        <w:rPr>
          <w:b/>
        </w:rPr>
        <w:t xml:space="preserve">QMS. </w:t>
      </w:r>
    </w:p>
    <w:tbl>
      <w:tblPr>
        <w:tblW w:w="10200" w:type="dxa"/>
        <w:tblInd w:w="-3" w:type="dxa"/>
        <w:tblLayout w:type="fixed"/>
        <w:tblCellMar>
          <w:left w:w="0" w:type="dxa"/>
          <w:right w:w="0" w:type="dxa"/>
        </w:tblCellMar>
        <w:tblLook w:val="04A0" w:firstRow="1" w:lastRow="0" w:firstColumn="1" w:lastColumn="0" w:noHBand="0" w:noVBand="1"/>
      </w:tblPr>
      <w:tblGrid>
        <w:gridCol w:w="1984"/>
        <w:gridCol w:w="2552"/>
        <w:gridCol w:w="5664"/>
      </w:tblGrid>
      <w:tr w:rsidR="006D37C4" w:rsidRPr="00CC36DB" w14:paraId="066FD4A5" w14:textId="77777777" w:rsidTr="00CE46A9">
        <w:trPr>
          <w:trHeight w:val="60"/>
          <w:tblHeader/>
        </w:trPr>
        <w:tc>
          <w:tcPr>
            <w:tcW w:w="1984" w:type="dxa"/>
            <w:tcBorders>
              <w:top w:val="single" w:sz="2" w:space="0" w:color="000000"/>
              <w:left w:val="single" w:sz="2" w:space="0" w:color="000000"/>
              <w:bottom w:val="single" w:sz="2" w:space="0" w:color="000000"/>
              <w:right w:val="single" w:sz="2" w:space="0" w:color="000000"/>
            </w:tcBorders>
            <w:shd w:val="clear" w:color="auto" w:fill="7F7F7F" w:themeFill="text1" w:themeFillTint="80"/>
            <w:tcMar>
              <w:top w:w="80" w:type="dxa"/>
              <w:left w:w="80" w:type="dxa"/>
              <w:bottom w:w="80" w:type="dxa"/>
              <w:right w:w="80" w:type="dxa"/>
            </w:tcMar>
            <w:hideMark/>
          </w:tcPr>
          <w:p w14:paraId="4B86D4D8"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
                <w:spacing w:val="-5"/>
                <w:sz w:val="21"/>
                <w:szCs w:val="21"/>
                <w:lang w:val="en-US"/>
              </w:rPr>
            </w:pPr>
            <w:r w:rsidRPr="00CC36DB">
              <w:rPr>
                <w:rFonts w:cstheme="minorHAnsi"/>
                <w:b/>
                <w:bCs/>
                <w:spacing w:val="-5"/>
                <w:sz w:val="21"/>
                <w:szCs w:val="21"/>
                <w:lang w:val="en-US"/>
              </w:rPr>
              <w:t>LOGIQC Register</w:t>
            </w:r>
          </w:p>
        </w:tc>
        <w:tc>
          <w:tcPr>
            <w:tcW w:w="2552" w:type="dxa"/>
            <w:tcBorders>
              <w:top w:val="single" w:sz="2" w:space="0" w:color="000000"/>
              <w:left w:val="single" w:sz="2" w:space="0" w:color="000000"/>
              <w:bottom w:val="single" w:sz="2" w:space="0" w:color="000000"/>
              <w:right w:val="single" w:sz="2" w:space="0" w:color="000000"/>
            </w:tcBorders>
            <w:shd w:val="clear" w:color="auto" w:fill="7F7F7F" w:themeFill="text1" w:themeFillTint="80"/>
            <w:tcMar>
              <w:top w:w="80" w:type="dxa"/>
              <w:left w:w="80" w:type="dxa"/>
              <w:bottom w:w="80" w:type="dxa"/>
              <w:right w:w="80" w:type="dxa"/>
            </w:tcMar>
            <w:hideMark/>
          </w:tcPr>
          <w:p w14:paraId="0EA04407"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Business objective</w:t>
            </w:r>
          </w:p>
        </w:tc>
        <w:tc>
          <w:tcPr>
            <w:tcW w:w="5664" w:type="dxa"/>
            <w:tcBorders>
              <w:top w:val="single" w:sz="2" w:space="0" w:color="000000"/>
              <w:left w:val="single" w:sz="2" w:space="0" w:color="000000"/>
              <w:bottom w:val="single" w:sz="2" w:space="0" w:color="000000"/>
              <w:right w:val="single" w:sz="2" w:space="0" w:color="000000"/>
            </w:tcBorders>
            <w:shd w:val="clear" w:color="auto" w:fill="7F7F7F" w:themeFill="text1" w:themeFillTint="80"/>
            <w:hideMark/>
          </w:tcPr>
          <w:p w14:paraId="355E870D" w14:textId="77777777" w:rsidR="006D37C4" w:rsidRPr="00CC36DB" w:rsidRDefault="006D37C4" w:rsidP="00CE46A9">
            <w:pPr>
              <w:tabs>
                <w:tab w:val="left" w:pos="180"/>
              </w:tabs>
              <w:suppressAutoHyphens/>
              <w:autoSpaceDE w:val="0"/>
              <w:autoSpaceDN w:val="0"/>
              <w:adjustRightInd w:val="0"/>
              <w:spacing w:before="20" w:after="20" w:line="240" w:lineRule="auto"/>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Scope</w:t>
            </w:r>
          </w:p>
        </w:tc>
      </w:tr>
      <w:tr w:rsidR="006D37C4" w:rsidRPr="00CC36DB" w14:paraId="4D7FFB33" w14:textId="77777777" w:rsidTr="00CE46A9">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0B3D6608" w14:textId="77777777" w:rsidR="006D37C4" w:rsidRPr="00CC36DB" w:rsidRDefault="006D37C4" w:rsidP="00CE46A9">
            <w:pPr>
              <w:tabs>
                <w:tab w:val="left" w:pos="180"/>
              </w:tabs>
              <w:suppressAutoHyphens/>
              <w:autoSpaceDE w:val="0"/>
              <w:autoSpaceDN w:val="0"/>
              <w:adjustRightInd w:val="0"/>
              <w:spacing w:before="20" w:after="20"/>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Registers to support the Governance Framework</w:t>
            </w:r>
          </w:p>
        </w:tc>
      </w:tr>
      <w:tr w:rsidR="006D37C4" w:rsidRPr="00CC36DB" w14:paraId="621435EA"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1D4B981"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Document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8DD6BDF"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Ensure staff have access to the latest approved versions of corporate policies and procedures.</w:t>
            </w:r>
          </w:p>
        </w:tc>
        <w:tc>
          <w:tcPr>
            <w:tcW w:w="5664" w:type="dxa"/>
            <w:tcBorders>
              <w:top w:val="single" w:sz="2" w:space="0" w:color="000000"/>
              <w:left w:val="single" w:sz="2" w:space="0" w:color="000000"/>
              <w:bottom w:val="single" w:sz="2" w:space="0" w:color="000000"/>
              <w:right w:val="single" w:sz="2" w:space="0" w:color="000000"/>
            </w:tcBorders>
            <w:hideMark/>
          </w:tcPr>
          <w:p w14:paraId="018013F8"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designed to manage a</w:t>
            </w:r>
            <w:r w:rsidRPr="00CC36DB">
              <w:rPr>
                <w:rFonts w:cstheme="minorHAnsi"/>
                <w:spacing w:val="-6"/>
                <w:position w:val="2"/>
                <w:sz w:val="21"/>
                <w:szCs w:val="21"/>
                <w:lang w:val="en-US"/>
              </w:rPr>
              <w:t>ll documents developed to articulate or guide the organisation’s behaviour</w:t>
            </w:r>
            <w:r>
              <w:rPr>
                <w:rFonts w:cstheme="minorHAnsi"/>
                <w:spacing w:val="-6"/>
                <w:position w:val="2"/>
                <w:sz w:val="21"/>
                <w:szCs w:val="21"/>
                <w:lang w:val="en-US"/>
              </w:rPr>
              <w:t>. For example:</w:t>
            </w:r>
          </w:p>
          <w:p w14:paraId="298ACF49"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Organisational policies, procedures, protocols, work instructions, relating to:</w:t>
            </w:r>
          </w:p>
          <w:p w14:paraId="4D3EF438"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ind w:left="845"/>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Governance </w:t>
            </w:r>
          </w:p>
          <w:p w14:paraId="032BDF61"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ind w:left="845"/>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Corporate</w:t>
            </w:r>
          </w:p>
          <w:p w14:paraId="45252B8F"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ind w:left="845"/>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Operational</w:t>
            </w:r>
          </w:p>
          <w:p w14:paraId="3E04E3F2"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ind w:left="845"/>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Service provision</w:t>
            </w:r>
          </w:p>
          <w:p w14:paraId="5CA980F8"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Forms, templates, signage check sheets</w:t>
            </w:r>
          </w:p>
          <w:p w14:paraId="6DC5A3ED"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External guidelines, training resources, Standards </w:t>
            </w:r>
          </w:p>
          <w:p w14:paraId="522EA246"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Internal signage</w:t>
            </w:r>
          </w:p>
        </w:tc>
      </w:tr>
      <w:tr w:rsidR="006D37C4" w:rsidRPr="00CC36DB" w14:paraId="716F35D9"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3C652DB8"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Contracts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97D246"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 xml:space="preserve">Manage contractual relationships and associated compliance requirements. </w:t>
            </w:r>
          </w:p>
          <w:p w14:paraId="2B6A8685" w14:textId="77777777" w:rsidR="006D37C4" w:rsidRPr="00CC36DB" w:rsidRDefault="006D37C4" w:rsidP="00CE46A9">
            <w:pPr>
              <w:rPr>
                <w:rFonts w:cstheme="minorHAnsi"/>
                <w:sz w:val="21"/>
                <w:szCs w:val="21"/>
                <w:lang w:val="en-US"/>
              </w:rPr>
            </w:pPr>
          </w:p>
          <w:p w14:paraId="30B773E9" w14:textId="77777777" w:rsidR="006D37C4" w:rsidRPr="00CC36DB" w:rsidRDefault="006D37C4" w:rsidP="00CE46A9">
            <w:pPr>
              <w:tabs>
                <w:tab w:val="left" w:pos="2220"/>
              </w:tabs>
              <w:rPr>
                <w:rFonts w:cstheme="minorHAnsi"/>
                <w:sz w:val="21"/>
                <w:szCs w:val="21"/>
                <w:lang w:val="en-US"/>
              </w:rPr>
            </w:pPr>
            <w:r w:rsidRPr="00CC36DB">
              <w:rPr>
                <w:rFonts w:cstheme="minorHAnsi"/>
                <w:sz w:val="21"/>
                <w:szCs w:val="21"/>
                <w:lang w:val="en-US"/>
              </w:rPr>
              <w:tab/>
            </w:r>
          </w:p>
        </w:tc>
        <w:tc>
          <w:tcPr>
            <w:tcW w:w="5664" w:type="dxa"/>
            <w:tcBorders>
              <w:top w:val="single" w:sz="2" w:space="0" w:color="000000"/>
              <w:left w:val="single" w:sz="2" w:space="0" w:color="000000"/>
              <w:bottom w:val="single" w:sz="2" w:space="0" w:color="000000"/>
              <w:right w:val="single" w:sz="2" w:space="0" w:color="000000"/>
            </w:tcBorders>
            <w:hideMark/>
          </w:tcPr>
          <w:p w14:paraId="08E67216" w14:textId="77777777" w:rsidR="006D37C4" w:rsidRPr="0015614C"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designed to manage any document that has a specified expiry date. For example:</w:t>
            </w:r>
          </w:p>
          <w:p w14:paraId="0BB37190"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Funding agreements</w:t>
            </w:r>
          </w:p>
          <w:p w14:paraId="7E18644C"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Employment agreements</w:t>
            </w:r>
          </w:p>
          <w:p w14:paraId="08CCA04A"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Insurance policies</w:t>
            </w:r>
          </w:p>
          <w:p w14:paraId="2D2DE0EB"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MOU / partnership agreements</w:t>
            </w:r>
          </w:p>
          <w:p w14:paraId="541A6D63"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Service Level Agreements (SLA)</w:t>
            </w:r>
          </w:p>
          <w:p w14:paraId="14E35CE3"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lastRenderedPageBreak/>
              <w:t>Warranty agreements</w:t>
            </w:r>
          </w:p>
        </w:tc>
      </w:tr>
      <w:tr w:rsidR="006D37C4" w:rsidRPr="00CC36DB" w14:paraId="1D17734F"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5271A750" w14:textId="77777777" w:rsidR="006D37C4"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lastRenderedPageBreak/>
              <w:t>Supplier Register</w:t>
            </w:r>
          </w:p>
          <w:p w14:paraId="6D2C8E0A" w14:textId="77777777" w:rsidR="006D37C4" w:rsidRPr="00DE4E2D" w:rsidRDefault="006D37C4" w:rsidP="00CE46A9">
            <w:pPr>
              <w:rPr>
                <w:rFonts w:cstheme="minorHAnsi"/>
                <w:sz w:val="21"/>
                <w:szCs w:val="21"/>
                <w:lang w:val="en-US"/>
              </w:rPr>
            </w:pPr>
          </w:p>
          <w:p w14:paraId="6151F7A3" w14:textId="77777777" w:rsidR="006D37C4" w:rsidRPr="00DE4E2D" w:rsidRDefault="006D37C4" w:rsidP="00CE46A9">
            <w:pPr>
              <w:rPr>
                <w:rFonts w:cstheme="minorHAnsi"/>
                <w:sz w:val="21"/>
                <w:szCs w:val="21"/>
                <w:lang w:val="en-US"/>
              </w:rPr>
            </w:pPr>
          </w:p>
          <w:p w14:paraId="20961889" w14:textId="77777777" w:rsidR="006D37C4" w:rsidRPr="00DE4E2D" w:rsidRDefault="006D37C4" w:rsidP="00CE46A9">
            <w:pPr>
              <w:rPr>
                <w:rFonts w:cstheme="minorHAnsi"/>
                <w:sz w:val="21"/>
                <w:szCs w:val="21"/>
                <w:lang w:val="en-US"/>
              </w:rPr>
            </w:pPr>
          </w:p>
          <w:p w14:paraId="3937FDF6" w14:textId="77777777" w:rsidR="006D37C4" w:rsidRPr="00DE4E2D" w:rsidRDefault="006D37C4" w:rsidP="00CE46A9">
            <w:pPr>
              <w:rPr>
                <w:rFonts w:cstheme="minorHAnsi"/>
                <w:sz w:val="21"/>
                <w:szCs w:val="21"/>
                <w:lang w:val="en-US"/>
              </w:rPr>
            </w:pPr>
          </w:p>
          <w:p w14:paraId="34169711" w14:textId="77777777" w:rsidR="006D37C4" w:rsidRPr="00DE4E2D" w:rsidRDefault="006D37C4" w:rsidP="00CE46A9">
            <w:pPr>
              <w:rPr>
                <w:rFonts w:cstheme="minorHAnsi"/>
                <w:sz w:val="21"/>
                <w:szCs w:val="21"/>
                <w:lang w:val="en-US"/>
              </w:rPr>
            </w:pPr>
          </w:p>
          <w:p w14:paraId="61AE32B4" w14:textId="77777777" w:rsidR="006D37C4" w:rsidRDefault="006D37C4" w:rsidP="00CE46A9">
            <w:pPr>
              <w:rPr>
                <w:rFonts w:cstheme="minorHAnsi"/>
                <w:spacing w:val="-6"/>
                <w:position w:val="2"/>
                <w:sz w:val="21"/>
                <w:szCs w:val="21"/>
                <w:lang w:val="en-US"/>
              </w:rPr>
            </w:pPr>
          </w:p>
          <w:p w14:paraId="72DC00D3" w14:textId="77777777" w:rsidR="006D37C4" w:rsidRPr="00DE4E2D" w:rsidRDefault="006D37C4" w:rsidP="00CE46A9">
            <w:pPr>
              <w:jc w:val="center"/>
              <w:rPr>
                <w:rFonts w:cstheme="minorHAnsi"/>
                <w:sz w:val="21"/>
                <w:szCs w:val="21"/>
                <w:lang w:val="en-US"/>
              </w:rPr>
            </w:pP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D188BE5"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 xml:space="preserve">Ensure suppliers are providing the highest quality services. </w:t>
            </w:r>
          </w:p>
        </w:tc>
        <w:tc>
          <w:tcPr>
            <w:tcW w:w="5664" w:type="dxa"/>
            <w:tcBorders>
              <w:top w:val="single" w:sz="2" w:space="0" w:color="000000"/>
              <w:left w:val="single" w:sz="2" w:space="0" w:color="000000"/>
              <w:bottom w:val="single" w:sz="2" w:space="0" w:color="000000"/>
              <w:right w:val="single" w:sz="2" w:space="0" w:color="000000"/>
            </w:tcBorders>
            <w:hideMark/>
          </w:tcPr>
          <w:p w14:paraId="31BBCA1A"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designed to manage those s</w:t>
            </w:r>
            <w:r w:rsidRPr="00CC36DB">
              <w:rPr>
                <w:rFonts w:cstheme="minorHAnsi"/>
                <w:spacing w:val="-6"/>
                <w:position w:val="2"/>
                <w:sz w:val="21"/>
                <w:szCs w:val="21"/>
                <w:lang w:val="en-US"/>
              </w:rPr>
              <w:t>uppliers that the organisation may purchase goods and services from that have the potential to affect the quality of services and therefore have a bearing, direct or indirect, on customer outcome:</w:t>
            </w:r>
          </w:p>
          <w:p w14:paraId="0C450F4E"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Employment/locum agencies</w:t>
            </w:r>
          </w:p>
          <w:p w14:paraId="5068DE3B"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Other health service providers / subcontractors</w:t>
            </w:r>
          </w:p>
          <w:p w14:paraId="62224E6E"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Suppliers of medical consumables and equipment</w:t>
            </w:r>
          </w:p>
          <w:p w14:paraId="5927B95C"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ICT providers</w:t>
            </w:r>
          </w:p>
          <w:p w14:paraId="63FEF1BC"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Catering services that provide food services for clients</w:t>
            </w:r>
          </w:p>
          <w:p w14:paraId="468CA80A"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Suppliers and contractors e.g. cleaning and maintenance</w:t>
            </w:r>
          </w:p>
        </w:tc>
      </w:tr>
      <w:tr w:rsidR="006D37C4" w:rsidRPr="00CC36DB" w14:paraId="35CACB4E"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7AF51DA"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Accreditation Module</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BE3DBDC"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Monitor and manage accreditation requirements</w:t>
            </w:r>
          </w:p>
        </w:tc>
        <w:tc>
          <w:tcPr>
            <w:tcW w:w="5664" w:type="dxa"/>
            <w:tcBorders>
              <w:top w:val="single" w:sz="2" w:space="0" w:color="000000"/>
              <w:left w:val="single" w:sz="2" w:space="0" w:color="000000"/>
              <w:bottom w:val="single" w:sz="2" w:space="0" w:color="000000"/>
              <w:right w:val="single" w:sz="2" w:space="0" w:color="000000"/>
            </w:tcBorders>
            <w:hideMark/>
          </w:tcPr>
          <w:p w14:paraId="3F763B39" w14:textId="77777777" w:rsidR="006D37C4" w:rsidRPr="0015614C"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This Module is designed to provide reports on how the organisation meets the requirements of standards, either for internal report or for external auditors. The Accreditation Module can be used for any published </w:t>
            </w:r>
            <w:r w:rsidRPr="0015614C">
              <w:rPr>
                <w:rFonts w:cstheme="minorHAnsi"/>
                <w:spacing w:val="-6"/>
                <w:position w:val="2"/>
                <w:sz w:val="21"/>
                <w:szCs w:val="21"/>
                <w:lang w:val="en-US"/>
              </w:rPr>
              <w:t>health and related standards</w:t>
            </w:r>
            <w:r>
              <w:rPr>
                <w:rFonts w:cstheme="minorHAnsi"/>
                <w:spacing w:val="-6"/>
                <w:position w:val="2"/>
                <w:sz w:val="21"/>
                <w:szCs w:val="21"/>
                <w:lang w:val="en-US"/>
              </w:rPr>
              <w:t>.</w:t>
            </w:r>
          </w:p>
        </w:tc>
      </w:tr>
      <w:tr w:rsidR="006D37C4" w:rsidRPr="00CC36DB" w14:paraId="7421698D"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3FE641C2"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Risk Module</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F7581D2"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Identify, assess, rate and treat critical risks</w:t>
            </w:r>
          </w:p>
        </w:tc>
        <w:tc>
          <w:tcPr>
            <w:tcW w:w="5664" w:type="dxa"/>
            <w:tcBorders>
              <w:top w:val="single" w:sz="2" w:space="0" w:color="000000"/>
              <w:left w:val="single" w:sz="2" w:space="0" w:color="000000"/>
              <w:bottom w:val="single" w:sz="2" w:space="0" w:color="000000"/>
              <w:right w:val="single" w:sz="2" w:space="0" w:color="000000"/>
            </w:tcBorders>
            <w:hideMark/>
          </w:tcPr>
          <w:p w14:paraId="5A024707"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This Module is designed to track the organisation’s exposure to identified risks, real and </w:t>
            </w:r>
            <w:r w:rsidRPr="00CC36DB">
              <w:rPr>
                <w:rFonts w:cstheme="minorHAnsi"/>
                <w:spacing w:val="-6"/>
                <w:position w:val="2"/>
                <w:sz w:val="21"/>
                <w:szCs w:val="21"/>
                <w:lang w:val="en-US"/>
              </w:rPr>
              <w:t>perceived</w:t>
            </w:r>
            <w:r>
              <w:rPr>
                <w:rFonts w:cstheme="minorHAnsi"/>
                <w:spacing w:val="-6"/>
                <w:position w:val="2"/>
                <w:sz w:val="21"/>
                <w:szCs w:val="21"/>
                <w:lang w:val="en-US"/>
              </w:rPr>
              <w:t>,</w:t>
            </w:r>
            <w:r w:rsidRPr="00CC36DB">
              <w:rPr>
                <w:rFonts w:cstheme="minorHAnsi"/>
                <w:spacing w:val="-6"/>
                <w:position w:val="2"/>
                <w:sz w:val="21"/>
                <w:szCs w:val="21"/>
                <w:lang w:val="en-US"/>
              </w:rPr>
              <w:t xml:space="preserve"> that have the potential to impact on the </w:t>
            </w:r>
            <w:r>
              <w:rPr>
                <w:rFonts w:cstheme="minorHAnsi"/>
                <w:spacing w:val="-6"/>
                <w:position w:val="2"/>
                <w:sz w:val="21"/>
                <w:szCs w:val="21"/>
                <w:lang w:val="en-US"/>
              </w:rPr>
              <w:t>organisation</w:t>
            </w:r>
            <w:r w:rsidRPr="00CC36DB">
              <w:rPr>
                <w:rFonts w:cstheme="minorHAnsi"/>
                <w:spacing w:val="-6"/>
                <w:position w:val="2"/>
                <w:sz w:val="21"/>
                <w:szCs w:val="21"/>
                <w:lang w:val="en-US"/>
              </w:rPr>
              <w:t>’s objective or standing in the community</w:t>
            </w:r>
            <w:r>
              <w:rPr>
                <w:rFonts w:cstheme="minorHAnsi"/>
                <w:spacing w:val="-6"/>
                <w:position w:val="2"/>
                <w:sz w:val="21"/>
                <w:szCs w:val="21"/>
                <w:lang w:val="en-US"/>
              </w:rPr>
              <w:t xml:space="preserve"> and has been developed to align with the requirements of </w:t>
            </w:r>
            <w:r w:rsidRPr="001A2CD4">
              <w:rPr>
                <w:rFonts w:cstheme="minorHAnsi"/>
                <w:i/>
                <w:iCs/>
                <w:spacing w:val="-6"/>
                <w:position w:val="2"/>
                <w:sz w:val="21"/>
                <w:szCs w:val="21"/>
                <w:lang w:val="en-US"/>
              </w:rPr>
              <w:t>ISO 31000 Risk Management – Guidelines</w:t>
            </w:r>
            <w:r>
              <w:rPr>
                <w:rFonts w:cstheme="minorHAnsi"/>
                <w:spacing w:val="-6"/>
                <w:position w:val="2"/>
                <w:sz w:val="21"/>
                <w:szCs w:val="21"/>
                <w:lang w:val="en-US"/>
              </w:rPr>
              <w:t>. Scope of risk could include:</w:t>
            </w:r>
          </w:p>
          <w:p w14:paraId="246BCD8F"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Corporate risks</w:t>
            </w:r>
            <w:r>
              <w:rPr>
                <w:rFonts w:asciiTheme="minorHAnsi" w:hAnsiTheme="minorHAnsi" w:cstheme="minorHAnsi"/>
                <w:spacing w:val="-6"/>
                <w:position w:val="2"/>
                <w:sz w:val="21"/>
                <w:szCs w:val="21"/>
                <w:lang w:val="en-US"/>
              </w:rPr>
              <w:t xml:space="preserve"> – admin, finance, HR, ICT, Quality, IPC</w:t>
            </w:r>
          </w:p>
          <w:p w14:paraId="56B99DA5"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Reputational risks</w:t>
            </w:r>
          </w:p>
          <w:p w14:paraId="29E1B3B6"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Operational risks</w:t>
            </w:r>
          </w:p>
          <w:p w14:paraId="52B80EC1"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Service provisions risks</w:t>
            </w:r>
          </w:p>
          <w:p w14:paraId="7A1AE072" w14:textId="77777777" w:rsidR="006D37C4" w:rsidRPr="001A2CD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WHS risks</w:t>
            </w:r>
          </w:p>
        </w:tc>
      </w:tr>
      <w:tr w:rsidR="006D37C4" w:rsidRPr="00CC36DB" w14:paraId="348EB359" w14:textId="77777777" w:rsidTr="00CE46A9">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40DB350B"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Registers to support the management of ongoing tasks</w:t>
            </w:r>
          </w:p>
        </w:tc>
      </w:tr>
      <w:tr w:rsidR="006D37C4" w:rsidRPr="00CC36DB" w14:paraId="3C5B43FE"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1833AB1"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Audit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26F7E95"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Monitor and evaluate the performance of critical systems and processes.</w:t>
            </w:r>
          </w:p>
        </w:tc>
        <w:tc>
          <w:tcPr>
            <w:tcW w:w="5664" w:type="dxa"/>
            <w:tcBorders>
              <w:top w:val="single" w:sz="2" w:space="0" w:color="000000"/>
              <w:left w:val="single" w:sz="2" w:space="0" w:color="000000"/>
              <w:bottom w:val="single" w:sz="2" w:space="0" w:color="000000"/>
              <w:right w:val="single" w:sz="2" w:space="0" w:color="000000"/>
            </w:tcBorders>
            <w:hideMark/>
          </w:tcPr>
          <w:p w14:paraId="0A57CB49"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a specialised register for managing</w:t>
            </w:r>
            <w:r w:rsidRPr="00CC36DB">
              <w:rPr>
                <w:rFonts w:cstheme="minorHAnsi"/>
                <w:spacing w:val="-6"/>
                <w:position w:val="2"/>
                <w:sz w:val="21"/>
                <w:szCs w:val="21"/>
                <w:lang w:val="en-US"/>
              </w:rPr>
              <w:t xml:space="preserve"> </w:t>
            </w:r>
            <w:r>
              <w:rPr>
                <w:rFonts w:cstheme="minorHAnsi"/>
                <w:spacing w:val="-6"/>
                <w:position w:val="2"/>
                <w:sz w:val="21"/>
                <w:szCs w:val="21"/>
                <w:lang w:val="en-US"/>
              </w:rPr>
              <w:t xml:space="preserve">compliance and monitoring </w:t>
            </w:r>
            <w:r w:rsidRPr="00CC36DB">
              <w:rPr>
                <w:rFonts w:cstheme="minorHAnsi"/>
                <w:spacing w:val="-6"/>
                <w:position w:val="2"/>
                <w:sz w:val="21"/>
                <w:szCs w:val="21"/>
                <w:lang w:val="en-US"/>
              </w:rPr>
              <w:t>performance</w:t>
            </w:r>
            <w:r>
              <w:rPr>
                <w:rFonts w:cstheme="minorHAnsi"/>
                <w:spacing w:val="-6"/>
                <w:position w:val="2"/>
                <w:sz w:val="21"/>
                <w:szCs w:val="21"/>
                <w:lang w:val="en-US"/>
              </w:rPr>
              <w:t xml:space="preserve"> through </w:t>
            </w:r>
            <w:r w:rsidRPr="00CC36DB">
              <w:rPr>
                <w:rFonts w:cstheme="minorHAnsi"/>
                <w:spacing w:val="-6"/>
                <w:position w:val="2"/>
                <w:sz w:val="21"/>
                <w:szCs w:val="21"/>
                <w:lang w:val="en-US"/>
              </w:rPr>
              <w:t xml:space="preserve">internal and external audits, reviews, evaluations, </w:t>
            </w:r>
            <w:r>
              <w:rPr>
                <w:rFonts w:cstheme="minorHAnsi"/>
                <w:spacing w:val="-6"/>
                <w:position w:val="2"/>
                <w:sz w:val="21"/>
                <w:szCs w:val="21"/>
                <w:lang w:val="en-US"/>
              </w:rPr>
              <w:t>and inspections. For example:</w:t>
            </w:r>
          </w:p>
          <w:p w14:paraId="651E68FD"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Compliance audits of critical processes, e.g. HR File audit, complaints management audit</w:t>
            </w:r>
          </w:p>
          <w:p w14:paraId="5AAEAEF4"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Performance audits, e.g. program evaluations, measurement against Quality Objectives, KPIs</w:t>
            </w:r>
          </w:p>
          <w:p w14:paraId="7A7ABDA0" w14:textId="77777777" w:rsidR="006D37C4" w:rsidRPr="00FD29DF"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Critical e</w:t>
            </w:r>
            <w:r w:rsidRPr="00FD29DF">
              <w:rPr>
                <w:rFonts w:asciiTheme="minorHAnsi" w:hAnsiTheme="minorHAnsi" w:cstheme="minorHAnsi"/>
                <w:spacing w:val="-6"/>
                <w:position w:val="2"/>
                <w:sz w:val="21"/>
                <w:szCs w:val="21"/>
                <w:lang w:val="en-US"/>
              </w:rPr>
              <w:t>quipment inspections e.g. Calibration of equipment</w:t>
            </w:r>
          </w:p>
          <w:p w14:paraId="51C98E0C"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Workplace Health and Safety audits</w:t>
            </w:r>
          </w:p>
        </w:tc>
      </w:tr>
      <w:tr w:rsidR="006D37C4" w:rsidRPr="00CC36DB" w14:paraId="1D92B627"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44C34C1"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Compliance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A907C8C"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Ensure critical activities are undertaken to meet compliance obligations.</w:t>
            </w:r>
          </w:p>
        </w:tc>
        <w:tc>
          <w:tcPr>
            <w:tcW w:w="5664" w:type="dxa"/>
            <w:tcBorders>
              <w:top w:val="single" w:sz="2" w:space="0" w:color="000000"/>
              <w:left w:val="single" w:sz="2" w:space="0" w:color="000000"/>
              <w:bottom w:val="single" w:sz="2" w:space="0" w:color="000000"/>
              <w:right w:val="single" w:sz="2" w:space="0" w:color="000000"/>
            </w:tcBorders>
            <w:hideMark/>
          </w:tcPr>
          <w:p w14:paraId="2406D5B0"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a general register for managing compliance tasks which the organisation is required to do. For example:</w:t>
            </w:r>
          </w:p>
          <w:p w14:paraId="354077B6"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Contractual requirements</w:t>
            </w:r>
            <w:r>
              <w:rPr>
                <w:rFonts w:asciiTheme="minorHAnsi" w:hAnsiTheme="minorHAnsi" w:cstheme="minorHAnsi"/>
                <w:spacing w:val="-6"/>
                <w:position w:val="2"/>
                <w:sz w:val="21"/>
                <w:szCs w:val="21"/>
                <w:lang w:val="en-US"/>
              </w:rPr>
              <w:t>, e.g. Funding reports</w:t>
            </w:r>
          </w:p>
          <w:p w14:paraId="053D527E"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Asset maintenance, e.g. Vehicle servicing</w:t>
            </w:r>
          </w:p>
          <w:p w14:paraId="1C92694B"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Actions required by industry Standards</w:t>
            </w:r>
          </w:p>
          <w:p w14:paraId="37DE1A98"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Actions required by l</w:t>
            </w:r>
            <w:r w:rsidRPr="00CC36DB">
              <w:rPr>
                <w:rFonts w:asciiTheme="minorHAnsi" w:hAnsiTheme="minorHAnsi" w:cstheme="minorHAnsi"/>
                <w:spacing w:val="-6"/>
                <w:position w:val="2"/>
                <w:sz w:val="21"/>
                <w:szCs w:val="21"/>
                <w:lang w:val="en-US"/>
              </w:rPr>
              <w:t xml:space="preserve">egislation </w:t>
            </w:r>
            <w:r>
              <w:rPr>
                <w:rFonts w:asciiTheme="minorHAnsi" w:hAnsiTheme="minorHAnsi" w:cstheme="minorHAnsi"/>
                <w:spacing w:val="-6"/>
                <w:position w:val="2"/>
                <w:sz w:val="21"/>
                <w:szCs w:val="21"/>
                <w:lang w:val="en-US"/>
              </w:rPr>
              <w:t xml:space="preserve">or other </w:t>
            </w:r>
            <w:r w:rsidRPr="00CC36DB">
              <w:rPr>
                <w:rFonts w:asciiTheme="minorHAnsi" w:hAnsiTheme="minorHAnsi" w:cstheme="minorHAnsi"/>
                <w:spacing w:val="-6"/>
                <w:position w:val="2"/>
                <w:sz w:val="21"/>
                <w:szCs w:val="21"/>
                <w:lang w:val="en-US"/>
              </w:rPr>
              <w:t>regulation</w:t>
            </w:r>
            <w:r>
              <w:rPr>
                <w:rFonts w:asciiTheme="minorHAnsi" w:hAnsiTheme="minorHAnsi" w:cstheme="minorHAnsi"/>
                <w:spacing w:val="-6"/>
                <w:position w:val="2"/>
                <w:sz w:val="21"/>
                <w:szCs w:val="21"/>
                <w:lang w:val="en-US"/>
              </w:rPr>
              <w:t>s</w:t>
            </w:r>
          </w:p>
          <w:p w14:paraId="5EAF0379"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lastRenderedPageBreak/>
              <w:t>L</w:t>
            </w:r>
            <w:r w:rsidRPr="00CC36DB">
              <w:rPr>
                <w:rFonts w:asciiTheme="minorHAnsi" w:hAnsiTheme="minorHAnsi" w:cstheme="minorHAnsi"/>
                <w:spacing w:val="-6"/>
                <w:position w:val="2"/>
                <w:sz w:val="21"/>
                <w:szCs w:val="21"/>
                <w:lang w:val="en-US"/>
              </w:rPr>
              <w:t>icensing requirements for the organi</w:t>
            </w:r>
            <w:r>
              <w:rPr>
                <w:rFonts w:asciiTheme="minorHAnsi" w:hAnsiTheme="minorHAnsi" w:cstheme="minorHAnsi"/>
                <w:spacing w:val="-6"/>
                <w:position w:val="2"/>
                <w:sz w:val="21"/>
                <w:szCs w:val="21"/>
                <w:lang w:val="en-US"/>
              </w:rPr>
              <w:t>s</w:t>
            </w:r>
            <w:r w:rsidRPr="00CC36DB">
              <w:rPr>
                <w:rFonts w:asciiTheme="minorHAnsi" w:hAnsiTheme="minorHAnsi" w:cstheme="minorHAnsi"/>
                <w:spacing w:val="-6"/>
                <w:position w:val="2"/>
                <w:sz w:val="21"/>
                <w:szCs w:val="21"/>
                <w:lang w:val="en-US"/>
              </w:rPr>
              <w:t>ation</w:t>
            </w:r>
            <w:r>
              <w:rPr>
                <w:rFonts w:asciiTheme="minorHAnsi" w:hAnsiTheme="minorHAnsi" w:cstheme="minorHAnsi"/>
                <w:spacing w:val="-6"/>
                <w:position w:val="2"/>
                <w:sz w:val="21"/>
                <w:szCs w:val="21"/>
                <w:lang w:val="en-US"/>
              </w:rPr>
              <w:t>, e.g. Permits (not the individual)</w:t>
            </w:r>
          </w:p>
          <w:p w14:paraId="7B251304"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 xml:space="preserve">Actions required by </w:t>
            </w:r>
            <w:r w:rsidRPr="00CC36DB">
              <w:rPr>
                <w:rFonts w:asciiTheme="minorHAnsi" w:hAnsiTheme="minorHAnsi" w:cstheme="minorHAnsi"/>
                <w:spacing w:val="-6"/>
                <w:position w:val="2"/>
                <w:sz w:val="21"/>
                <w:szCs w:val="21"/>
                <w:lang w:val="en-US"/>
              </w:rPr>
              <w:t>organisation</w:t>
            </w:r>
            <w:r>
              <w:rPr>
                <w:rFonts w:asciiTheme="minorHAnsi" w:hAnsiTheme="minorHAnsi" w:cstheme="minorHAnsi"/>
                <w:spacing w:val="-6"/>
                <w:position w:val="2"/>
                <w:sz w:val="21"/>
                <w:szCs w:val="21"/>
                <w:lang w:val="en-US"/>
              </w:rPr>
              <w:t>al</w:t>
            </w:r>
            <w:r w:rsidRPr="00CC36DB">
              <w:rPr>
                <w:rFonts w:asciiTheme="minorHAnsi" w:hAnsiTheme="minorHAnsi" w:cstheme="minorHAnsi"/>
                <w:spacing w:val="-6"/>
                <w:position w:val="2"/>
                <w:sz w:val="21"/>
                <w:szCs w:val="21"/>
                <w:lang w:val="en-US"/>
              </w:rPr>
              <w:t xml:space="preserve"> policies</w:t>
            </w:r>
            <w:r>
              <w:rPr>
                <w:rFonts w:asciiTheme="minorHAnsi" w:hAnsiTheme="minorHAnsi" w:cstheme="minorHAnsi"/>
                <w:spacing w:val="-6"/>
                <w:position w:val="2"/>
                <w:sz w:val="21"/>
                <w:szCs w:val="21"/>
                <w:lang w:val="en-US"/>
              </w:rPr>
              <w:t>, e.g. annual staff performance reviews</w:t>
            </w:r>
          </w:p>
          <w:p w14:paraId="58578D64" w14:textId="77777777" w:rsidR="006D37C4" w:rsidRDefault="006D37C4" w:rsidP="00CE46A9">
            <w:pPr>
              <w:pStyle w:val="ListParagraph"/>
              <w:tabs>
                <w:tab w:val="left" w:pos="180"/>
              </w:tabs>
              <w:suppressAutoHyphens/>
              <w:autoSpaceDE w:val="0"/>
              <w:autoSpaceDN w:val="0"/>
              <w:adjustRightInd w:val="0"/>
              <w:spacing w:before="20" w:after="20" w:line="256" w:lineRule="auto"/>
              <w:ind w:left="502"/>
              <w:textAlignment w:val="center"/>
              <w:rPr>
                <w:rFonts w:asciiTheme="minorHAnsi" w:hAnsiTheme="minorHAnsi" w:cstheme="minorHAnsi"/>
                <w:spacing w:val="-6"/>
                <w:position w:val="2"/>
                <w:sz w:val="21"/>
                <w:szCs w:val="21"/>
                <w:lang w:val="en-US"/>
              </w:rPr>
            </w:pPr>
          </w:p>
          <w:p w14:paraId="31D828CB" w14:textId="77777777" w:rsidR="006D37C4" w:rsidRDefault="006D37C4" w:rsidP="00CE46A9">
            <w:pPr>
              <w:tabs>
                <w:tab w:val="left" w:pos="180"/>
              </w:tabs>
              <w:suppressAutoHyphens/>
              <w:autoSpaceDE w:val="0"/>
              <w:autoSpaceDN w:val="0"/>
              <w:adjustRightInd w:val="0"/>
              <w:spacing w:before="20" w:after="20"/>
              <w:ind w:left="142"/>
              <w:textAlignment w:val="center"/>
              <w:rPr>
                <w:rFonts w:cstheme="minorHAnsi"/>
                <w:color w:val="FF0000"/>
                <w:spacing w:val="-6"/>
                <w:position w:val="2"/>
                <w:sz w:val="21"/>
                <w:szCs w:val="21"/>
                <w:lang w:val="en-US"/>
              </w:rPr>
            </w:pPr>
            <w:r>
              <w:rPr>
                <w:rFonts w:cstheme="minorHAnsi"/>
                <w:color w:val="FF0000"/>
                <w:spacing w:val="-6"/>
                <w:position w:val="2"/>
                <w:sz w:val="21"/>
                <w:szCs w:val="21"/>
                <w:lang w:val="en-US"/>
              </w:rPr>
              <w:t>Note</w:t>
            </w:r>
            <w:r w:rsidRPr="00A97D32">
              <w:rPr>
                <w:rFonts w:cstheme="minorHAnsi"/>
                <w:color w:val="FF0000"/>
                <w:spacing w:val="-6"/>
                <w:position w:val="2"/>
                <w:sz w:val="21"/>
                <w:szCs w:val="21"/>
                <w:lang w:val="en-US"/>
              </w:rPr>
              <w:t>: The</w:t>
            </w:r>
            <w:r>
              <w:rPr>
                <w:rFonts w:cstheme="minorHAnsi"/>
                <w:color w:val="FF0000"/>
                <w:spacing w:val="-6"/>
                <w:position w:val="2"/>
                <w:sz w:val="21"/>
                <w:szCs w:val="21"/>
                <w:lang w:val="en-US"/>
              </w:rPr>
              <w:t xml:space="preserve"> Compliance</w:t>
            </w:r>
            <w:r w:rsidRPr="00A97D32">
              <w:rPr>
                <w:rFonts w:cstheme="minorHAnsi"/>
                <w:color w:val="FF0000"/>
                <w:spacing w:val="-6"/>
                <w:position w:val="2"/>
                <w:sz w:val="21"/>
                <w:szCs w:val="21"/>
                <w:lang w:val="en-US"/>
              </w:rPr>
              <w:t xml:space="preserve"> Register is not designed to manage audits, </w:t>
            </w:r>
            <w:r>
              <w:rPr>
                <w:rFonts w:cstheme="minorHAnsi"/>
                <w:color w:val="FF0000"/>
                <w:spacing w:val="-6"/>
                <w:position w:val="2"/>
                <w:sz w:val="21"/>
                <w:szCs w:val="21"/>
                <w:lang w:val="en-US"/>
              </w:rPr>
              <w:t xml:space="preserve">staff </w:t>
            </w:r>
            <w:r w:rsidRPr="00A97D32">
              <w:rPr>
                <w:rFonts w:cstheme="minorHAnsi"/>
                <w:color w:val="FF0000"/>
                <w:spacing w:val="-6"/>
                <w:position w:val="2"/>
                <w:sz w:val="21"/>
                <w:szCs w:val="21"/>
                <w:lang w:val="en-US"/>
              </w:rPr>
              <w:t xml:space="preserve">licensing checks or training. </w:t>
            </w:r>
            <w:r>
              <w:rPr>
                <w:rFonts w:cstheme="minorHAnsi"/>
                <w:color w:val="FF0000"/>
                <w:spacing w:val="-6"/>
                <w:position w:val="2"/>
                <w:sz w:val="21"/>
                <w:szCs w:val="21"/>
                <w:lang w:val="en-US"/>
              </w:rPr>
              <w:t xml:space="preserve">These tasks should be managed through the </w:t>
            </w:r>
            <w:r w:rsidRPr="00A97D32">
              <w:rPr>
                <w:rFonts w:cstheme="minorHAnsi"/>
                <w:color w:val="FF0000"/>
                <w:spacing w:val="-6"/>
                <w:position w:val="2"/>
                <w:sz w:val="21"/>
                <w:szCs w:val="21"/>
                <w:lang w:val="en-US"/>
              </w:rPr>
              <w:t xml:space="preserve">specialised </w:t>
            </w:r>
            <w:r>
              <w:rPr>
                <w:rFonts w:cstheme="minorHAnsi"/>
                <w:color w:val="FF0000"/>
                <w:spacing w:val="-6"/>
                <w:position w:val="2"/>
                <w:sz w:val="21"/>
                <w:szCs w:val="21"/>
                <w:lang w:val="en-US"/>
              </w:rPr>
              <w:t>r</w:t>
            </w:r>
            <w:r w:rsidRPr="00A97D32">
              <w:rPr>
                <w:rFonts w:cstheme="minorHAnsi"/>
                <w:color w:val="FF0000"/>
                <w:spacing w:val="-6"/>
                <w:position w:val="2"/>
                <w:sz w:val="21"/>
                <w:szCs w:val="21"/>
                <w:lang w:val="en-US"/>
              </w:rPr>
              <w:t xml:space="preserve">egisters </w:t>
            </w:r>
            <w:r>
              <w:rPr>
                <w:rFonts w:cstheme="minorHAnsi"/>
                <w:color w:val="FF0000"/>
                <w:spacing w:val="-6"/>
                <w:position w:val="2"/>
                <w:sz w:val="21"/>
                <w:szCs w:val="21"/>
                <w:lang w:val="en-US"/>
              </w:rPr>
              <w:t>for audits, licensing and training.</w:t>
            </w:r>
          </w:p>
          <w:p w14:paraId="4CA1CA10" w14:textId="77777777" w:rsidR="006D37C4" w:rsidRDefault="006D37C4" w:rsidP="00CE46A9">
            <w:pPr>
              <w:tabs>
                <w:tab w:val="left" w:pos="180"/>
              </w:tabs>
              <w:suppressAutoHyphens/>
              <w:autoSpaceDE w:val="0"/>
              <w:autoSpaceDN w:val="0"/>
              <w:adjustRightInd w:val="0"/>
              <w:spacing w:before="20" w:after="20"/>
              <w:textAlignment w:val="center"/>
              <w:rPr>
                <w:rFonts w:cstheme="minorHAnsi"/>
                <w:color w:val="FF0000"/>
                <w:spacing w:val="-6"/>
                <w:position w:val="2"/>
                <w:sz w:val="21"/>
                <w:szCs w:val="21"/>
                <w:lang w:val="en-US"/>
              </w:rPr>
            </w:pPr>
          </w:p>
          <w:p w14:paraId="75D1AB3D" w14:textId="77777777" w:rsidR="006D37C4" w:rsidRDefault="006D37C4" w:rsidP="00CE46A9">
            <w:pPr>
              <w:tabs>
                <w:tab w:val="left" w:pos="180"/>
              </w:tabs>
              <w:suppressAutoHyphens/>
              <w:autoSpaceDE w:val="0"/>
              <w:autoSpaceDN w:val="0"/>
              <w:adjustRightInd w:val="0"/>
              <w:spacing w:before="20" w:after="20"/>
              <w:textAlignment w:val="center"/>
              <w:rPr>
                <w:rFonts w:cstheme="minorHAnsi"/>
                <w:color w:val="FF0000"/>
                <w:spacing w:val="-6"/>
                <w:position w:val="2"/>
                <w:sz w:val="21"/>
                <w:szCs w:val="21"/>
                <w:lang w:val="en-US"/>
              </w:rPr>
            </w:pPr>
          </w:p>
          <w:p w14:paraId="07A344CA" w14:textId="77777777" w:rsidR="006D37C4" w:rsidRPr="00A97D32" w:rsidRDefault="006D37C4" w:rsidP="00CE46A9">
            <w:pPr>
              <w:tabs>
                <w:tab w:val="left" w:pos="180"/>
              </w:tabs>
              <w:suppressAutoHyphens/>
              <w:autoSpaceDE w:val="0"/>
              <w:autoSpaceDN w:val="0"/>
              <w:adjustRightInd w:val="0"/>
              <w:spacing w:before="20" w:after="20"/>
              <w:textAlignment w:val="center"/>
              <w:rPr>
                <w:rFonts w:cstheme="minorHAnsi"/>
                <w:color w:val="FF0000"/>
                <w:spacing w:val="-6"/>
                <w:position w:val="2"/>
                <w:sz w:val="21"/>
                <w:szCs w:val="21"/>
                <w:lang w:val="en-US"/>
              </w:rPr>
            </w:pPr>
          </w:p>
        </w:tc>
      </w:tr>
      <w:tr w:rsidR="006D37C4" w:rsidRPr="00CC36DB" w14:paraId="05DBFC0E" w14:textId="77777777" w:rsidTr="00CE46A9">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2062B58F"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lastRenderedPageBreak/>
              <w:t>Registers to support people management tasks</w:t>
            </w:r>
          </w:p>
        </w:tc>
      </w:tr>
      <w:tr w:rsidR="006D37C4" w:rsidRPr="00CC36DB" w14:paraId="59B3F69C"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361550A"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Licensing Register</w:t>
            </w:r>
          </w:p>
          <w:p w14:paraId="28084410"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(People management)</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027F513"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Ensure staff, supplier and contractor credentials are checked as required.</w:t>
            </w:r>
          </w:p>
        </w:tc>
        <w:tc>
          <w:tcPr>
            <w:tcW w:w="5664" w:type="dxa"/>
            <w:tcBorders>
              <w:top w:val="single" w:sz="2" w:space="0" w:color="000000"/>
              <w:left w:val="single" w:sz="2" w:space="0" w:color="000000"/>
              <w:bottom w:val="single" w:sz="2" w:space="0" w:color="000000"/>
              <w:right w:val="single" w:sz="2" w:space="0" w:color="000000"/>
            </w:tcBorders>
            <w:hideMark/>
          </w:tcPr>
          <w:p w14:paraId="77F1BCE1"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This Register is </w:t>
            </w:r>
            <w:r>
              <w:rPr>
                <w:rFonts w:cstheme="minorHAnsi"/>
                <w:spacing w:val="-6"/>
                <w:position w:val="2"/>
                <w:sz w:val="21"/>
                <w:szCs w:val="21"/>
                <w:lang w:val="en-US"/>
              </w:rPr>
              <w:t xml:space="preserve">a specialised register </w:t>
            </w:r>
            <w:r w:rsidRPr="00CC36DB">
              <w:rPr>
                <w:rFonts w:cstheme="minorHAnsi"/>
                <w:spacing w:val="-6"/>
                <w:position w:val="2"/>
                <w:sz w:val="21"/>
                <w:szCs w:val="21"/>
                <w:lang w:val="en-US"/>
              </w:rPr>
              <w:t xml:space="preserve">designed to </w:t>
            </w:r>
            <w:r w:rsidRPr="00CC36DB">
              <w:rPr>
                <w:rFonts w:cstheme="minorHAnsi"/>
                <w:b/>
                <w:bCs/>
                <w:spacing w:val="-6"/>
                <w:position w:val="2"/>
                <w:sz w:val="21"/>
                <w:szCs w:val="21"/>
                <w:lang w:val="en-US"/>
              </w:rPr>
              <w:t>manage</w:t>
            </w:r>
            <w:r>
              <w:rPr>
                <w:rFonts w:cstheme="minorHAnsi"/>
                <w:b/>
                <w:bCs/>
                <w:spacing w:val="-6"/>
                <w:position w:val="2"/>
                <w:sz w:val="21"/>
                <w:szCs w:val="21"/>
                <w:lang w:val="en-US"/>
              </w:rPr>
              <w:t xml:space="preserve"> compliance relating to </w:t>
            </w:r>
            <w:r w:rsidRPr="00CC36DB">
              <w:rPr>
                <w:rFonts w:cstheme="minorHAnsi"/>
                <w:b/>
                <w:bCs/>
                <w:spacing w:val="-6"/>
                <w:position w:val="2"/>
                <w:sz w:val="21"/>
                <w:szCs w:val="21"/>
                <w:lang w:val="en-US"/>
              </w:rPr>
              <w:t xml:space="preserve">license checks </w:t>
            </w:r>
            <w:r>
              <w:rPr>
                <w:rFonts w:cstheme="minorHAnsi"/>
                <w:b/>
                <w:bCs/>
                <w:spacing w:val="-6"/>
                <w:position w:val="2"/>
                <w:sz w:val="21"/>
                <w:szCs w:val="21"/>
                <w:lang w:val="en-US"/>
              </w:rPr>
              <w:t xml:space="preserve">of staff and other individuals, including external service providers </w:t>
            </w:r>
            <w:r w:rsidRPr="00CC36DB">
              <w:rPr>
                <w:rFonts w:cstheme="minorHAnsi"/>
                <w:spacing w:val="-6"/>
                <w:position w:val="2"/>
                <w:sz w:val="21"/>
                <w:szCs w:val="21"/>
                <w:lang w:val="en-US"/>
              </w:rPr>
              <w:t>and credentialing checks, for example:</w:t>
            </w:r>
          </w:p>
          <w:p w14:paraId="0FE801EC"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APHRA / APC / other professional registration checks</w:t>
            </w:r>
          </w:p>
          <w:p w14:paraId="529E69B7"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Medical insurance/indemnity relating to an individual</w:t>
            </w:r>
          </w:p>
          <w:p w14:paraId="224A670D"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National Police Check</w:t>
            </w:r>
          </w:p>
          <w:p w14:paraId="1B6021D6"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Working with Children Check</w:t>
            </w:r>
          </w:p>
          <w:p w14:paraId="51FEC67D"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Driver license checks</w:t>
            </w:r>
          </w:p>
          <w:p w14:paraId="361188A5" w14:textId="77777777" w:rsidR="006D37C4" w:rsidRPr="00512626"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Note: It is recommended that these tasks are assigned to the ‘person’ not the ‘position’, when scheduling the task. </w:t>
            </w:r>
          </w:p>
        </w:tc>
      </w:tr>
      <w:tr w:rsidR="006D37C4" w:rsidRPr="00CC36DB" w14:paraId="28563826"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808A240"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Training Register </w:t>
            </w:r>
          </w:p>
          <w:p w14:paraId="2E455A73"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(People management)</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35ABC884"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Ensure staff maintain the required competencies to perform their role</w:t>
            </w:r>
          </w:p>
        </w:tc>
        <w:tc>
          <w:tcPr>
            <w:tcW w:w="5664" w:type="dxa"/>
            <w:tcBorders>
              <w:top w:val="single" w:sz="2" w:space="0" w:color="000000"/>
              <w:left w:val="single" w:sz="2" w:space="0" w:color="000000"/>
              <w:bottom w:val="single" w:sz="2" w:space="0" w:color="000000"/>
              <w:right w:val="single" w:sz="2" w:space="0" w:color="000000"/>
            </w:tcBorders>
            <w:hideMark/>
          </w:tcPr>
          <w:p w14:paraId="1A384885"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This Register is </w:t>
            </w:r>
            <w:r>
              <w:rPr>
                <w:rFonts w:cstheme="minorHAnsi"/>
                <w:spacing w:val="-6"/>
                <w:position w:val="2"/>
                <w:sz w:val="21"/>
                <w:szCs w:val="21"/>
                <w:lang w:val="en-US"/>
              </w:rPr>
              <w:t xml:space="preserve">a specialised register </w:t>
            </w:r>
            <w:r w:rsidRPr="00CC36DB">
              <w:rPr>
                <w:rFonts w:cstheme="minorHAnsi"/>
                <w:spacing w:val="-6"/>
                <w:position w:val="2"/>
                <w:sz w:val="21"/>
                <w:szCs w:val="21"/>
                <w:lang w:val="en-US"/>
              </w:rPr>
              <w:t xml:space="preserve">designed to </w:t>
            </w:r>
            <w:r w:rsidRPr="00CC36DB">
              <w:rPr>
                <w:rFonts w:cstheme="minorHAnsi"/>
                <w:b/>
                <w:bCs/>
                <w:spacing w:val="-6"/>
                <w:position w:val="2"/>
                <w:sz w:val="21"/>
                <w:szCs w:val="21"/>
                <w:lang w:val="en-US"/>
              </w:rPr>
              <w:t>manage</w:t>
            </w:r>
            <w:r>
              <w:rPr>
                <w:rFonts w:cstheme="minorHAnsi"/>
                <w:b/>
                <w:bCs/>
                <w:spacing w:val="-6"/>
                <w:position w:val="2"/>
                <w:sz w:val="21"/>
                <w:szCs w:val="21"/>
                <w:lang w:val="en-US"/>
              </w:rPr>
              <w:t xml:space="preserve"> compliance relating to staff </w:t>
            </w:r>
            <w:r w:rsidRPr="00CC36DB">
              <w:rPr>
                <w:rFonts w:cstheme="minorHAnsi"/>
                <w:b/>
                <w:bCs/>
                <w:spacing w:val="-6"/>
                <w:position w:val="2"/>
                <w:sz w:val="21"/>
                <w:szCs w:val="21"/>
                <w:lang w:val="en-US"/>
              </w:rPr>
              <w:t>training</w:t>
            </w:r>
            <w:r w:rsidRPr="00CC36DB">
              <w:rPr>
                <w:rFonts w:cstheme="minorHAnsi"/>
                <w:spacing w:val="-6"/>
                <w:position w:val="2"/>
                <w:sz w:val="21"/>
                <w:szCs w:val="21"/>
                <w:lang w:val="en-US"/>
              </w:rPr>
              <w:t xml:space="preserve"> for example:</w:t>
            </w:r>
          </w:p>
          <w:p w14:paraId="7C42E49D"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Induction / orientation </w:t>
            </w:r>
          </w:p>
          <w:p w14:paraId="2D49541F"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Mandatory training</w:t>
            </w:r>
          </w:p>
          <w:p w14:paraId="712CF11E"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Occupational specific training </w:t>
            </w:r>
          </w:p>
          <w:p w14:paraId="642AED27"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Management training e.g. budget management, people management</w:t>
            </w:r>
          </w:p>
          <w:p w14:paraId="5DD8E8AD" w14:textId="77777777" w:rsidR="006D37C4" w:rsidRPr="00512626" w:rsidRDefault="006D37C4" w:rsidP="00CE46A9">
            <w:pPr>
              <w:tabs>
                <w:tab w:val="left" w:pos="180"/>
              </w:tabs>
              <w:suppressAutoHyphens/>
              <w:autoSpaceDE w:val="0"/>
              <w:autoSpaceDN w:val="0"/>
              <w:adjustRightInd w:val="0"/>
              <w:spacing w:before="20" w:after="20" w:line="256" w:lineRule="auto"/>
              <w:ind w:left="142"/>
              <w:textAlignment w:val="center"/>
              <w:rPr>
                <w:rFonts w:cstheme="minorHAnsi"/>
                <w:spacing w:val="-6"/>
                <w:position w:val="2"/>
                <w:sz w:val="21"/>
                <w:szCs w:val="21"/>
                <w:lang w:val="en-US"/>
              </w:rPr>
            </w:pPr>
            <w:r w:rsidRPr="00512626">
              <w:rPr>
                <w:rFonts w:cstheme="minorHAnsi"/>
                <w:spacing w:val="-6"/>
                <w:position w:val="2"/>
                <w:sz w:val="21"/>
                <w:szCs w:val="21"/>
                <w:lang w:val="en-US"/>
              </w:rPr>
              <w:t>Note: It is recommended that these tasks are assigned to the ‘person’ not the ‘position’, when scheduling the task.</w:t>
            </w:r>
          </w:p>
          <w:p w14:paraId="65632A2F" w14:textId="77777777" w:rsidR="006D37C4" w:rsidRPr="00CC36DB" w:rsidRDefault="006D37C4" w:rsidP="00CE46A9">
            <w:pPr>
              <w:tabs>
                <w:tab w:val="left" w:pos="180"/>
              </w:tabs>
              <w:suppressAutoHyphens/>
              <w:autoSpaceDE w:val="0"/>
              <w:autoSpaceDN w:val="0"/>
              <w:adjustRightInd w:val="0"/>
              <w:spacing w:before="20" w:after="20" w:line="256" w:lineRule="auto"/>
              <w:textAlignment w:val="center"/>
              <w:rPr>
                <w:rFonts w:cstheme="minorHAnsi"/>
                <w:spacing w:val="-6"/>
                <w:position w:val="2"/>
                <w:sz w:val="21"/>
                <w:szCs w:val="21"/>
                <w:lang w:val="en-US"/>
              </w:rPr>
            </w:pPr>
          </w:p>
        </w:tc>
      </w:tr>
      <w:tr w:rsidR="006D37C4" w:rsidRPr="00CC36DB" w14:paraId="4A0CFF74" w14:textId="77777777" w:rsidTr="00CE46A9">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0EB4D2F0"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Register</w:t>
            </w:r>
            <w:r>
              <w:rPr>
                <w:rFonts w:cstheme="minorHAnsi"/>
                <w:b/>
                <w:bCs/>
                <w:spacing w:val="-6"/>
                <w:position w:val="2"/>
                <w:sz w:val="21"/>
                <w:szCs w:val="21"/>
                <w:lang w:val="en-US"/>
              </w:rPr>
              <w:t>s</w:t>
            </w:r>
            <w:r w:rsidRPr="00CC36DB">
              <w:rPr>
                <w:rFonts w:cstheme="minorHAnsi"/>
                <w:b/>
                <w:bCs/>
                <w:spacing w:val="-6"/>
                <w:position w:val="2"/>
                <w:sz w:val="21"/>
                <w:szCs w:val="21"/>
                <w:lang w:val="en-US"/>
              </w:rPr>
              <w:t xml:space="preserve"> designed to support a Reporting Culture</w:t>
            </w:r>
          </w:p>
        </w:tc>
      </w:tr>
      <w:tr w:rsidR="006D37C4" w:rsidRPr="00CC36DB" w14:paraId="547A7E54"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FB0DCCE"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Improvement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F13B89A"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Track non-conformances and support continual and evidence-based improvement in service delivery.</w:t>
            </w:r>
          </w:p>
        </w:tc>
        <w:tc>
          <w:tcPr>
            <w:tcW w:w="5664" w:type="dxa"/>
            <w:tcBorders>
              <w:top w:val="single" w:sz="2" w:space="0" w:color="000000"/>
              <w:left w:val="single" w:sz="2" w:space="0" w:color="000000"/>
              <w:bottom w:val="single" w:sz="2" w:space="0" w:color="000000"/>
              <w:right w:val="single" w:sz="2" w:space="0" w:color="000000"/>
            </w:tcBorders>
            <w:hideMark/>
          </w:tcPr>
          <w:p w14:paraId="629DF031"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This Register is designed to support the reporting of </w:t>
            </w:r>
            <w:r>
              <w:rPr>
                <w:rFonts w:cstheme="minorHAnsi"/>
                <w:spacing w:val="-6"/>
                <w:position w:val="2"/>
                <w:sz w:val="21"/>
                <w:szCs w:val="21"/>
                <w:lang w:val="en-US"/>
              </w:rPr>
              <w:t xml:space="preserve">issues related to </w:t>
            </w:r>
            <w:r w:rsidRPr="00CC36DB">
              <w:rPr>
                <w:rFonts w:cstheme="minorHAnsi"/>
                <w:spacing w:val="-6"/>
                <w:position w:val="2"/>
                <w:sz w:val="21"/>
                <w:szCs w:val="21"/>
                <w:lang w:val="en-US"/>
              </w:rPr>
              <w:t>process</w:t>
            </w:r>
            <w:r>
              <w:rPr>
                <w:rFonts w:cstheme="minorHAnsi"/>
                <w:spacing w:val="-6"/>
                <w:position w:val="2"/>
                <w:sz w:val="21"/>
                <w:szCs w:val="21"/>
                <w:lang w:val="en-US"/>
              </w:rPr>
              <w:t>, including</w:t>
            </w:r>
            <w:r w:rsidRPr="00CC36DB">
              <w:rPr>
                <w:rFonts w:cstheme="minorHAnsi"/>
                <w:spacing w:val="-6"/>
                <w:position w:val="2"/>
                <w:sz w:val="21"/>
                <w:szCs w:val="21"/>
                <w:lang w:val="en-US"/>
              </w:rPr>
              <w:t xml:space="preserve">: </w:t>
            </w:r>
          </w:p>
          <w:p w14:paraId="60147891"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Non-conformances</w:t>
            </w:r>
          </w:p>
          <w:p w14:paraId="0C623AAE"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ind w:left="858"/>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Where the process has not been followed</w:t>
            </w:r>
          </w:p>
          <w:p w14:paraId="2F71DD2F"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ind w:left="858"/>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Where equipment does not meet required specifications</w:t>
            </w:r>
          </w:p>
          <w:p w14:paraId="3E3F21DA"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ind w:left="858"/>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Where services do not meet expected outcomes</w:t>
            </w:r>
          </w:p>
          <w:p w14:paraId="17027081"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Recommendations arising from audits, internal or external</w:t>
            </w:r>
          </w:p>
          <w:p w14:paraId="53A2C334"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Recommendations for improvement arising from adverse event</w:t>
            </w:r>
          </w:p>
          <w:p w14:paraId="26278087" w14:textId="77777777" w:rsidR="006D37C4" w:rsidRPr="00512626"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Suggestions for improvement</w:t>
            </w:r>
            <w:r w:rsidRPr="00512626">
              <w:rPr>
                <w:rFonts w:cstheme="minorHAnsi"/>
                <w:spacing w:val="-6"/>
                <w:position w:val="2"/>
                <w:sz w:val="21"/>
                <w:szCs w:val="21"/>
                <w:lang w:val="en-US"/>
              </w:rPr>
              <w:t xml:space="preserve"> </w:t>
            </w:r>
          </w:p>
        </w:tc>
      </w:tr>
      <w:tr w:rsidR="006D37C4" w:rsidRPr="00CC36DB" w14:paraId="36220661"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A4D3AB2"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lastRenderedPageBreak/>
              <w:t>Incidents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FD1CB3A"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 xml:space="preserve">Ensure adverse events are reported and managed effectively in accordance with operational and statutory requirements. </w:t>
            </w:r>
          </w:p>
        </w:tc>
        <w:tc>
          <w:tcPr>
            <w:tcW w:w="5664" w:type="dxa"/>
            <w:tcBorders>
              <w:top w:val="single" w:sz="2" w:space="0" w:color="000000"/>
              <w:left w:val="single" w:sz="2" w:space="0" w:color="000000"/>
              <w:bottom w:val="single" w:sz="2" w:space="0" w:color="000000"/>
              <w:right w:val="single" w:sz="2" w:space="0" w:color="000000"/>
            </w:tcBorders>
            <w:hideMark/>
          </w:tcPr>
          <w:p w14:paraId="2E6E66FC" w14:textId="77777777" w:rsidR="006D37C4"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This </w:t>
            </w:r>
            <w:r>
              <w:rPr>
                <w:rFonts w:cstheme="minorHAnsi"/>
                <w:spacing w:val="-6"/>
                <w:position w:val="2"/>
                <w:sz w:val="21"/>
                <w:szCs w:val="21"/>
                <w:lang w:val="en-US"/>
              </w:rPr>
              <w:t>Register</w:t>
            </w:r>
            <w:r w:rsidRPr="00CC36DB">
              <w:rPr>
                <w:rFonts w:cstheme="minorHAnsi"/>
                <w:spacing w:val="-6"/>
                <w:position w:val="2"/>
                <w:sz w:val="21"/>
                <w:szCs w:val="21"/>
                <w:lang w:val="en-US"/>
              </w:rPr>
              <w:t xml:space="preserve"> is designed to support </w:t>
            </w:r>
            <w:r>
              <w:rPr>
                <w:rFonts w:cstheme="minorHAnsi"/>
                <w:spacing w:val="-6"/>
                <w:position w:val="2"/>
                <w:sz w:val="21"/>
                <w:szCs w:val="21"/>
                <w:lang w:val="en-US"/>
              </w:rPr>
              <w:t xml:space="preserve">the reporting of adverse events, including identified hazards. </w:t>
            </w:r>
          </w:p>
          <w:p w14:paraId="5C718F36"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Service provision incidents, e.g. c</w:t>
            </w:r>
            <w:r w:rsidRPr="00CC36DB">
              <w:rPr>
                <w:rFonts w:asciiTheme="minorHAnsi" w:hAnsiTheme="minorHAnsi" w:cstheme="minorHAnsi"/>
                <w:spacing w:val="-6"/>
                <w:position w:val="2"/>
                <w:sz w:val="21"/>
                <w:szCs w:val="21"/>
                <w:lang w:val="en-US"/>
              </w:rPr>
              <w:t>linical</w:t>
            </w:r>
            <w:r>
              <w:rPr>
                <w:rFonts w:asciiTheme="minorHAnsi" w:hAnsiTheme="minorHAnsi" w:cstheme="minorHAnsi"/>
                <w:spacing w:val="-6"/>
                <w:position w:val="2"/>
                <w:sz w:val="21"/>
                <w:szCs w:val="21"/>
                <w:lang w:val="en-US"/>
              </w:rPr>
              <w:t xml:space="preserve"> incidents </w:t>
            </w:r>
          </w:p>
          <w:p w14:paraId="0B8FF744"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Operational incidents</w:t>
            </w:r>
          </w:p>
          <w:p w14:paraId="2D0DADB7"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Workplace health and safety incidents</w:t>
            </w:r>
          </w:p>
          <w:p w14:paraId="00CE204C"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Identified h</w:t>
            </w:r>
            <w:r w:rsidRPr="00CC36DB">
              <w:rPr>
                <w:rFonts w:asciiTheme="minorHAnsi" w:hAnsiTheme="minorHAnsi" w:cstheme="minorHAnsi"/>
                <w:spacing w:val="-6"/>
                <w:position w:val="2"/>
                <w:sz w:val="21"/>
                <w:szCs w:val="21"/>
                <w:lang w:val="en-US"/>
              </w:rPr>
              <w:t xml:space="preserve">azards </w:t>
            </w:r>
          </w:p>
          <w:p w14:paraId="7EB9BCC7" w14:textId="77777777" w:rsidR="006D37C4" w:rsidRDefault="006D37C4" w:rsidP="00CE46A9">
            <w:pPr>
              <w:tabs>
                <w:tab w:val="left" w:pos="180"/>
              </w:tabs>
              <w:suppressAutoHyphens/>
              <w:autoSpaceDE w:val="0"/>
              <w:autoSpaceDN w:val="0"/>
              <w:adjustRightInd w:val="0"/>
              <w:spacing w:before="20" w:after="20" w:line="256" w:lineRule="auto"/>
              <w:textAlignment w:val="center"/>
              <w:rPr>
                <w:rFonts w:cstheme="minorHAnsi"/>
                <w:spacing w:val="-6"/>
                <w:position w:val="2"/>
                <w:sz w:val="21"/>
                <w:szCs w:val="21"/>
                <w:lang w:val="en-US"/>
              </w:rPr>
            </w:pPr>
          </w:p>
          <w:p w14:paraId="368C0ED6" w14:textId="77777777" w:rsidR="006D37C4" w:rsidRPr="00512626"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Note: Essential to establishing a reporting culture is to support a ‘no blame’ culture. It also requires all staff to take responsibility to report adverse events.</w:t>
            </w:r>
          </w:p>
        </w:tc>
      </w:tr>
      <w:tr w:rsidR="006D37C4" w:rsidRPr="00CC36DB" w14:paraId="59CCCE10"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525B7A86"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Feedback/complaints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A7844DE"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Ensure customer/client feedback and complaints are reported and managed effectively in accordance with operational requirements.</w:t>
            </w:r>
          </w:p>
        </w:tc>
        <w:tc>
          <w:tcPr>
            <w:tcW w:w="5664" w:type="dxa"/>
            <w:tcBorders>
              <w:top w:val="single" w:sz="2" w:space="0" w:color="000000"/>
              <w:left w:val="single" w:sz="2" w:space="0" w:color="000000"/>
              <w:bottom w:val="single" w:sz="2" w:space="0" w:color="000000"/>
              <w:right w:val="single" w:sz="2" w:space="0" w:color="000000"/>
            </w:tcBorders>
            <w:hideMark/>
          </w:tcPr>
          <w:p w14:paraId="12F6B87E" w14:textId="77777777" w:rsidR="006D37C4"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Note: The Feedback Register was designed to record feedback from external sources, e.g. clients, other service providers. </w:t>
            </w:r>
          </w:p>
          <w:p w14:paraId="1E1063F6" w14:textId="77777777" w:rsidR="006D37C4"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Staff feedback can be recorded on the Improvement Register. </w:t>
            </w:r>
          </w:p>
          <w:p w14:paraId="75D791F5" w14:textId="77777777" w:rsidR="006D37C4"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This Register is designed to track and monitor what external stakeholders are saying about the organisation. </w:t>
            </w:r>
          </w:p>
          <w:p w14:paraId="6A0749AE"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All feedback and complaints – non-personnel related</w:t>
            </w:r>
          </w:p>
          <w:p w14:paraId="34A284C8"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External feedback from clients, suppliers and other external stakeholders </w:t>
            </w:r>
          </w:p>
        </w:tc>
      </w:tr>
      <w:tr w:rsidR="006D37C4" w:rsidRPr="00CC36DB" w14:paraId="2F1C6BE1"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10A1AC0"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Repairs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BB0F08C"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Ensure plant and equipment malfunction is reported and managed effectively</w:t>
            </w:r>
          </w:p>
        </w:tc>
        <w:tc>
          <w:tcPr>
            <w:tcW w:w="5664" w:type="dxa"/>
            <w:tcBorders>
              <w:top w:val="single" w:sz="2" w:space="0" w:color="000000"/>
              <w:left w:val="single" w:sz="2" w:space="0" w:color="000000"/>
              <w:bottom w:val="single" w:sz="2" w:space="0" w:color="000000"/>
              <w:right w:val="single" w:sz="2" w:space="0" w:color="000000"/>
            </w:tcBorders>
            <w:hideMark/>
          </w:tcPr>
          <w:p w14:paraId="6E08F88F"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designed to manage the repairs of all plant (facilities) and equipment:</w:t>
            </w:r>
          </w:p>
          <w:p w14:paraId="69346DA6"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Repairs relating to </w:t>
            </w:r>
            <w:r>
              <w:rPr>
                <w:rFonts w:asciiTheme="minorHAnsi" w:hAnsiTheme="minorHAnsi" w:cstheme="minorHAnsi"/>
                <w:spacing w:val="-6"/>
                <w:position w:val="2"/>
                <w:sz w:val="21"/>
                <w:szCs w:val="21"/>
                <w:lang w:val="en-US"/>
              </w:rPr>
              <w:t>plant and</w:t>
            </w:r>
            <w:r w:rsidRPr="00CC36DB">
              <w:rPr>
                <w:rFonts w:asciiTheme="minorHAnsi" w:hAnsiTheme="minorHAnsi" w:cstheme="minorHAnsi"/>
                <w:spacing w:val="-6"/>
                <w:position w:val="2"/>
                <w:sz w:val="21"/>
                <w:szCs w:val="21"/>
                <w:lang w:val="en-US"/>
              </w:rPr>
              <w:t xml:space="preserve"> equipment</w:t>
            </w:r>
          </w:p>
          <w:p w14:paraId="1B5F6222"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 xml:space="preserve">Repairs relating to vehicles </w:t>
            </w:r>
          </w:p>
          <w:p w14:paraId="35446A40"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 xml:space="preserve">Repairs relating to other assets </w:t>
            </w:r>
          </w:p>
          <w:p w14:paraId="1CACE00F" w14:textId="77777777" w:rsidR="006D37C4" w:rsidRPr="00124A35" w:rsidRDefault="006D37C4" w:rsidP="00CE46A9">
            <w:pPr>
              <w:pStyle w:val="ListParagraph"/>
              <w:tabs>
                <w:tab w:val="left" w:pos="180"/>
              </w:tabs>
              <w:suppressAutoHyphens/>
              <w:autoSpaceDE w:val="0"/>
              <w:autoSpaceDN w:val="0"/>
              <w:adjustRightInd w:val="0"/>
              <w:spacing w:before="20" w:after="20" w:line="256" w:lineRule="auto"/>
              <w:ind w:left="502"/>
              <w:textAlignment w:val="center"/>
              <w:rPr>
                <w:rFonts w:asciiTheme="minorHAnsi" w:hAnsiTheme="minorHAnsi" w:cstheme="minorHAnsi"/>
                <w:spacing w:val="-6"/>
                <w:position w:val="2"/>
                <w:sz w:val="21"/>
                <w:szCs w:val="21"/>
                <w:lang w:val="en-US"/>
              </w:rPr>
            </w:pPr>
          </w:p>
        </w:tc>
      </w:tr>
      <w:tr w:rsidR="006D37C4" w:rsidRPr="00CC36DB" w14:paraId="2DB55F8C" w14:textId="77777777" w:rsidTr="00CE46A9">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706354B4"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Other Registers</w:t>
            </w:r>
          </w:p>
        </w:tc>
      </w:tr>
      <w:tr w:rsidR="006D37C4" w:rsidRPr="00CC36DB" w14:paraId="3DDB53F7"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21F55E7"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Records/Evidence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72F42CE"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 xml:space="preserve">Maintain evidence of critical activities required to support / accreditation. </w:t>
            </w:r>
          </w:p>
        </w:tc>
        <w:tc>
          <w:tcPr>
            <w:tcW w:w="5664" w:type="dxa"/>
            <w:tcBorders>
              <w:top w:val="single" w:sz="2" w:space="0" w:color="000000"/>
              <w:left w:val="single" w:sz="2" w:space="0" w:color="000000"/>
              <w:bottom w:val="single" w:sz="2" w:space="0" w:color="000000"/>
              <w:right w:val="single" w:sz="2" w:space="0" w:color="000000"/>
            </w:tcBorders>
            <w:hideMark/>
          </w:tcPr>
          <w:p w14:paraId="5B22A20A" w14:textId="77777777" w:rsidR="006D37C4" w:rsidRPr="00CC36DB"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designed to provide a central location for all records which relate to managing safety, quality and risk, including those that may be required to be provided to an external auditor. For example:</w:t>
            </w:r>
          </w:p>
          <w:p w14:paraId="5AAF453B"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All records associated with completing tasks scheduled in LOGIQC</w:t>
            </w:r>
            <w:r>
              <w:rPr>
                <w:rFonts w:asciiTheme="minorHAnsi" w:hAnsiTheme="minorHAnsi" w:cstheme="minorHAnsi"/>
                <w:spacing w:val="-6"/>
                <w:position w:val="2"/>
                <w:sz w:val="21"/>
                <w:szCs w:val="21"/>
                <w:lang w:val="en-US"/>
              </w:rPr>
              <w:t>, where evidence may be required by an external auditor</w:t>
            </w:r>
          </w:p>
          <w:p w14:paraId="10FFBBFB" w14:textId="77777777" w:rsidR="006D37C4" w:rsidRPr="00124A35"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All other records that may need to be provided to an auditor</w:t>
            </w:r>
          </w:p>
        </w:tc>
      </w:tr>
      <w:tr w:rsidR="006D37C4" w:rsidRPr="00CC36DB" w14:paraId="0A7CBF99" w14:textId="77777777" w:rsidTr="00CE46A9">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2310505"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Contacts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D9A65EF" w14:textId="77777777" w:rsidR="006D37C4" w:rsidRPr="00CC36DB" w:rsidRDefault="006D37C4" w:rsidP="00CE46A9">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A central contact list for </w:t>
            </w:r>
            <w:r>
              <w:rPr>
                <w:rFonts w:cstheme="minorHAnsi"/>
                <w:spacing w:val="-6"/>
                <w:position w:val="2"/>
                <w:sz w:val="21"/>
                <w:szCs w:val="21"/>
                <w:lang w:val="en-US"/>
              </w:rPr>
              <w:t>the organisation’s</w:t>
            </w:r>
            <w:r w:rsidRPr="00CC36DB">
              <w:rPr>
                <w:rFonts w:cstheme="minorHAnsi"/>
                <w:spacing w:val="-6"/>
                <w:position w:val="2"/>
                <w:sz w:val="21"/>
                <w:szCs w:val="21"/>
                <w:lang w:val="en-US"/>
              </w:rPr>
              <w:t xml:space="preserve"> stakeholders </w:t>
            </w:r>
          </w:p>
        </w:tc>
        <w:tc>
          <w:tcPr>
            <w:tcW w:w="5664" w:type="dxa"/>
            <w:tcBorders>
              <w:top w:val="single" w:sz="2" w:space="0" w:color="000000"/>
              <w:left w:val="single" w:sz="2" w:space="0" w:color="000000"/>
              <w:bottom w:val="single" w:sz="2" w:space="0" w:color="000000"/>
              <w:right w:val="single" w:sz="2" w:space="0" w:color="000000"/>
            </w:tcBorders>
            <w:hideMark/>
          </w:tcPr>
          <w:p w14:paraId="374568DA" w14:textId="77777777" w:rsidR="006D37C4"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The Contact Register is designed to manage those business contacts that may be necessary to support staff to complete tasks that have been allocated through the QMS. </w:t>
            </w:r>
          </w:p>
          <w:p w14:paraId="7CD443AA" w14:textId="77777777" w:rsidR="006D37C4"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For example:</w:t>
            </w:r>
          </w:p>
          <w:p w14:paraId="7634D41B"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Contacts relating to cont</w:t>
            </w:r>
            <w:r>
              <w:rPr>
                <w:rFonts w:asciiTheme="minorHAnsi" w:hAnsiTheme="minorHAnsi" w:cstheme="minorHAnsi"/>
                <w:spacing w:val="-6"/>
                <w:position w:val="2"/>
                <w:sz w:val="21"/>
                <w:szCs w:val="21"/>
                <w:lang w:val="en-US"/>
              </w:rPr>
              <w:t>r</w:t>
            </w:r>
            <w:r w:rsidRPr="00CC36DB">
              <w:rPr>
                <w:rFonts w:asciiTheme="minorHAnsi" w:hAnsiTheme="minorHAnsi" w:cstheme="minorHAnsi"/>
                <w:spacing w:val="-6"/>
                <w:position w:val="2"/>
                <w:sz w:val="21"/>
                <w:szCs w:val="21"/>
                <w:lang w:val="en-US"/>
              </w:rPr>
              <w:t xml:space="preserve">acts </w:t>
            </w:r>
            <w:r>
              <w:rPr>
                <w:rFonts w:asciiTheme="minorHAnsi" w:hAnsiTheme="minorHAnsi" w:cstheme="minorHAnsi"/>
                <w:spacing w:val="-6"/>
                <w:position w:val="2"/>
                <w:sz w:val="21"/>
                <w:szCs w:val="21"/>
                <w:lang w:val="en-US"/>
              </w:rPr>
              <w:t>where acquittal reporting and other reporting requirements have been tasked in the QMS</w:t>
            </w:r>
          </w:p>
          <w:p w14:paraId="63B9F9AE"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S</w:t>
            </w:r>
            <w:r w:rsidRPr="00CC36DB">
              <w:rPr>
                <w:rFonts w:asciiTheme="minorHAnsi" w:hAnsiTheme="minorHAnsi" w:cstheme="minorHAnsi"/>
                <w:spacing w:val="-6"/>
                <w:position w:val="2"/>
                <w:sz w:val="21"/>
                <w:szCs w:val="21"/>
                <w:lang w:val="en-US"/>
              </w:rPr>
              <w:t xml:space="preserve">uppliers who will be </w:t>
            </w:r>
            <w:r>
              <w:rPr>
                <w:rFonts w:asciiTheme="minorHAnsi" w:hAnsiTheme="minorHAnsi" w:cstheme="minorHAnsi"/>
                <w:spacing w:val="-6"/>
                <w:position w:val="2"/>
                <w:sz w:val="21"/>
                <w:szCs w:val="21"/>
                <w:lang w:val="en-US"/>
              </w:rPr>
              <w:t>managed through the</w:t>
            </w:r>
            <w:r w:rsidRPr="00CC36DB">
              <w:rPr>
                <w:rFonts w:asciiTheme="minorHAnsi" w:hAnsiTheme="minorHAnsi" w:cstheme="minorHAnsi"/>
                <w:spacing w:val="-6"/>
                <w:position w:val="2"/>
                <w:sz w:val="21"/>
                <w:szCs w:val="21"/>
                <w:lang w:val="en-US"/>
              </w:rPr>
              <w:t xml:space="preserve"> Supplier Register</w:t>
            </w:r>
          </w:p>
          <w:p w14:paraId="70AC7B60"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S</w:t>
            </w:r>
            <w:r w:rsidRPr="00CC36DB">
              <w:rPr>
                <w:rFonts w:asciiTheme="minorHAnsi" w:hAnsiTheme="minorHAnsi" w:cstheme="minorHAnsi"/>
                <w:spacing w:val="-6"/>
                <w:position w:val="2"/>
                <w:sz w:val="21"/>
                <w:szCs w:val="21"/>
                <w:lang w:val="en-US"/>
              </w:rPr>
              <w:t xml:space="preserve">uppliers who </w:t>
            </w:r>
            <w:r>
              <w:rPr>
                <w:rFonts w:asciiTheme="minorHAnsi" w:hAnsiTheme="minorHAnsi" w:cstheme="minorHAnsi"/>
                <w:spacing w:val="-6"/>
                <w:position w:val="2"/>
                <w:sz w:val="21"/>
                <w:szCs w:val="21"/>
                <w:lang w:val="en-US"/>
              </w:rPr>
              <w:t xml:space="preserve">manage maintenance or </w:t>
            </w:r>
            <w:r w:rsidRPr="00CC36DB">
              <w:rPr>
                <w:rFonts w:asciiTheme="minorHAnsi" w:hAnsiTheme="minorHAnsi" w:cstheme="minorHAnsi"/>
                <w:spacing w:val="-6"/>
                <w:position w:val="2"/>
                <w:sz w:val="21"/>
                <w:szCs w:val="21"/>
                <w:lang w:val="en-US"/>
              </w:rPr>
              <w:t>repairs to p</w:t>
            </w:r>
            <w:r>
              <w:rPr>
                <w:rFonts w:asciiTheme="minorHAnsi" w:hAnsiTheme="minorHAnsi" w:cstheme="minorHAnsi"/>
                <w:spacing w:val="-6"/>
                <w:position w:val="2"/>
                <w:sz w:val="21"/>
                <w:szCs w:val="21"/>
                <w:lang w:val="en-US"/>
              </w:rPr>
              <w:t>lant</w:t>
            </w:r>
            <w:r w:rsidRPr="00CC36DB">
              <w:rPr>
                <w:rFonts w:asciiTheme="minorHAnsi" w:hAnsiTheme="minorHAnsi" w:cstheme="minorHAnsi"/>
                <w:spacing w:val="-6"/>
                <w:position w:val="2"/>
                <w:sz w:val="21"/>
                <w:szCs w:val="21"/>
                <w:lang w:val="en-US"/>
              </w:rPr>
              <w:t xml:space="preserve"> and equipment</w:t>
            </w:r>
            <w:r>
              <w:rPr>
                <w:rFonts w:asciiTheme="minorHAnsi" w:hAnsiTheme="minorHAnsi" w:cstheme="minorHAnsi"/>
                <w:spacing w:val="-6"/>
                <w:position w:val="2"/>
                <w:sz w:val="21"/>
                <w:szCs w:val="21"/>
                <w:lang w:val="en-US"/>
              </w:rPr>
              <w:t>, including fire and safety equipment, those who calibrate equipment</w:t>
            </w:r>
          </w:p>
          <w:p w14:paraId="2405F2AF"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External auditors</w:t>
            </w:r>
          </w:p>
          <w:p w14:paraId="133BF121" w14:textId="77777777" w:rsidR="006D37C4" w:rsidRPr="00CC36DB"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Corporate officer suppliers</w:t>
            </w:r>
          </w:p>
          <w:p w14:paraId="7D9E3263" w14:textId="77777777" w:rsidR="006D37C4" w:rsidRDefault="006D37C4" w:rsidP="00CE46A9">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lastRenderedPageBreak/>
              <w:t>Suppliers of m</w:t>
            </w:r>
            <w:r w:rsidRPr="00CC36DB">
              <w:rPr>
                <w:rFonts w:asciiTheme="minorHAnsi" w:hAnsiTheme="minorHAnsi" w:cstheme="minorHAnsi"/>
                <w:spacing w:val="-6"/>
                <w:position w:val="2"/>
                <w:sz w:val="21"/>
                <w:szCs w:val="21"/>
                <w:lang w:val="en-US"/>
              </w:rPr>
              <w:t xml:space="preserve">edical consumables and </w:t>
            </w:r>
            <w:r>
              <w:rPr>
                <w:rFonts w:asciiTheme="minorHAnsi" w:hAnsiTheme="minorHAnsi" w:cstheme="minorHAnsi"/>
                <w:spacing w:val="-6"/>
                <w:position w:val="2"/>
                <w:sz w:val="21"/>
                <w:szCs w:val="21"/>
                <w:lang w:val="en-US"/>
              </w:rPr>
              <w:t>medical equ</w:t>
            </w:r>
            <w:r w:rsidRPr="00CC36DB">
              <w:rPr>
                <w:rFonts w:asciiTheme="minorHAnsi" w:hAnsiTheme="minorHAnsi" w:cstheme="minorHAnsi"/>
                <w:spacing w:val="-6"/>
                <w:position w:val="2"/>
                <w:sz w:val="21"/>
                <w:szCs w:val="21"/>
                <w:lang w:val="en-US"/>
              </w:rPr>
              <w:t>ipment</w:t>
            </w:r>
          </w:p>
          <w:p w14:paraId="38FFF108" w14:textId="77777777" w:rsidR="006D37C4" w:rsidRDefault="006D37C4" w:rsidP="00CE46A9">
            <w:pPr>
              <w:pStyle w:val="ListParagraph"/>
              <w:tabs>
                <w:tab w:val="left" w:pos="180"/>
              </w:tabs>
              <w:suppressAutoHyphens/>
              <w:autoSpaceDE w:val="0"/>
              <w:autoSpaceDN w:val="0"/>
              <w:adjustRightInd w:val="0"/>
              <w:spacing w:before="20" w:after="20" w:line="256" w:lineRule="auto"/>
              <w:ind w:left="502"/>
              <w:textAlignment w:val="center"/>
              <w:rPr>
                <w:rFonts w:asciiTheme="minorHAnsi" w:hAnsiTheme="minorHAnsi" w:cstheme="minorHAnsi"/>
                <w:spacing w:val="-6"/>
                <w:position w:val="2"/>
                <w:sz w:val="21"/>
                <w:szCs w:val="21"/>
                <w:lang w:val="en-US"/>
              </w:rPr>
            </w:pPr>
          </w:p>
          <w:p w14:paraId="4DCE9D7E" w14:textId="77777777" w:rsidR="006D37C4" w:rsidRPr="00A03EDF" w:rsidRDefault="006D37C4" w:rsidP="00CE46A9">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Note: It is not recommended that the Contact Register replicates other contact data bases the organisation may have in place. </w:t>
            </w:r>
          </w:p>
        </w:tc>
      </w:tr>
    </w:tbl>
    <w:p w14:paraId="68809000" w14:textId="77777777" w:rsidR="006D37C4" w:rsidRPr="009D74EA" w:rsidRDefault="006D37C4">
      <w:pPr>
        <w:rPr>
          <w:b/>
        </w:rPr>
      </w:pPr>
    </w:p>
    <w:p w14:paraId="47817E2E" w14:textId="77777777" w:rsidR="00B15974" w:rsidRDefault="0041649C"/>
    <w:sectPr w:rsidR="00B15974" w:rsidSect="004A1B82">
      <w:headerReference w:type="even" r:id="rId7"/>
      <w:headerReference w:type="default" r:id="rId8"/>
      <w:footerReference w:type="default" r:id="rId9"/>
      <w:headerReference w:type="first" r:id="rId10"/>
      <w:pgSz w:w="11906" w:h="16838"/>
      <w:pgMar w:top="1440" w:right="1016" w:bottom="1440" w:left="1080" w:header="288" w:footer="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F595B" w14:textId="77777777" w:rsidR="0041649C" w:rsidRDefault="0041649C">
      <w:pPr>
        <w:spacing w:after="0" w:line="240" w:lineRule="auto"/>
      </w:pPr>
      <w:r>
        <w:separator/>
      </w:r>
    </w:p>
  </w:endnote>
  <w:endnote w:type="continuationSeparator" w:id="0">
    <w:p w14:paraId="31ECB0BE" w14:textId="77777777" w:rsidR="0041649C" w:rsidRDefault="0041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UPC">
    <w:altName w:val="Arial Unicode MS"/>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153A" w14:textId="6B194EB3" w:rsidR="00F94278" w:rsidRDefault="005635F2" w:rsidP="00CB68EF">
    <w:pPr>
      <w:pStyle w:val="Footer"/>
      <w:pBdr>
        <w:top w:val="single" w:sz="4" w:space="1" w:color="auto"/>
      </w:pBdr>
      <w:tabs>
        <w:tab w:val="center" w:pos="4820"/>
        <w:tab w:val="right" w:pos="10348"/>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1A4467">
      <w:rPr>
        <w:noProof/>
        <w:sz w:val="16"/>
      </w:rPr>
      <w:t>doc_587_Scope of the QMS Template_v1</w:t>
    </w:r>
    <w:r>
      <w:rPr>
        <w:noProof/>
        <w:sz w:val="16"/>
      </w:rPr>
      <w:fldChar w:fldCharType="end"/>
    </w:r>
    <w:r w:rsidRPr="00321B90">
      <w:rPr>
        <w:noProof/>
        <w:sz w:val="16"/>
      </w:rPr>
      <w:t xml:space="preserve"> </w:t>
    </w:r>
    <w:r>
      <w:rPr>
        <w:sz w:val="16"/>
      </w:rPr>
      <w:tab/>
    </w:r>
    <w:r>
      <w:rPr>
        <w:sz w:val="16"/>
      </w:rPr>
      <w:tab/>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5DDF5DE3" w14:textId="6830DC34" w:rsidR="00F94278" w:rsidRPr="008F1E8C" w:rsidRDefault="005635F2" w:rsidP="008F1E8C">
    <w:pPr>
      <w:jc w:val="center"/>
      <w:rPr>
        <w:sz w:val="16"/>
      </w:rPr>
    </w:pPr>
    <w:r w:rsidRPr="00FD22F7">
      <w:rPr>
        <w:sz w:val="16"/>
      </w:rPr>
      <w:t xml:space="preserve">© This document is the property of </w:t>
    </w:r>
    <w:r>
      <w:rPr>
        <w:sz w:val="16"/>
      </w:rPr>
      <w:t>LOGIQC Pty Ltd.</w:t>
    </w:r>
    <w:r w:rsidRPr="00FD22F7">
      <w:rPr>
        <w:sz w:val="16"/>
      </w:rPr>
      <w:br/>
    </w:r>
    <w:r w:rsidR="0064181C" w:rsidRPr="00DC4666">
      <w:rPr>
        <w:color w:val="FF0000"/>
        <w:sz w:val="16"/>
        <w:highlight w:val="yellow"/>
      </w:rPr>
      <w:t>&lt;</w:t>
    </w:r>
    <w:r w:rsidR="0064181C">
      <w:rPr>
        <w:color w:val="FF0000"/>
        <w:sz w:val="16"/>
        <w:highlight w:val="yellow"/>
      </w:rPr>
      <w:t>Company</w:t>
    </w:r>
    <w:r w:rsidR="0064181C" w:rsidRPr="00DC4666">
      <w:rPr>
        <w:color w:val="FF0000"/>
        <w:sz w:val="16"/>
        <w:highlight w:val="yellow"/>
      </w:rPr>
      <w:t xml:space="preserve"> </w:t>
    </w:r>
    <w:r w:rsidR="0064181C">
      <w:rPr>
        <w:color w:val="FF0000"/>
        <w:sz w:val="16"/>
        <w:highlight w:val="yellow"/>
      </w:rPr>
      <w:t>n</w:t>
    </w:r>
    <w:r w:rsidR="0064181C" w:rsidRPr="00DC4666">
      <w:rPr>
        <w:color w:val="FF0000"/>
        <w:sz w:val="16"/>
        <w:highlight w:val="yellow"/>
      </w:rPr>
      <w:t>ame&gt;</w:t>
    </w:r>
    <w:r w:rsidR="0064181C" w:rsidRPr="00DC4666">
      <w:rPr>
        <w:color w:val="FF0000"/>
        <w:sz w:val="16"/>
      </w:rPr>
      <w:t xml:space="preserve"> </w:t>
    </w:r>
    <w:r w:rsidR="0064181C">
      <w:rPr>
        <w:color w:val="FF0000"/>
        <w:sz w:val="16"/>
      </w:rPr>
      <w:t>is required</w:t>
    </w:r>
    <w:r w:rsidR="0064181C" w:rsidRPr="00DC4666">
      <w:rPr>
        <w:color w:val="FF0000"/>
        <w:sz w:val="16"/>
      </w:rPr>
      <w:t xml:space="preserve"> to edit this </w:t>
    </w:r>
    <w:r w:rsidR="0064181C">
      <w:rPr>
        <w:color w:val="FF0000"/>
        <w:sz w:val="16"/>
      </w:rPr>
      <w:t xml:space="preserve">document and </w:t>
    </w:r>
    <w:r w:rsidR="0064181C" w:rsidRPr="00DC4666">
      <w:rPr>
        <w:color w:val="FF0000"/>
        <w:sz w:val="16"/>
      </w:rPr>
      <w:t>footer</w:t>
    </w:r>
    <w:r w:rsidR="0064181C">
      <w:rPr>
        <w:color w:val="FF0000"/>
        <w:sz w:val="16"/>
      </w:rPr>
      <w:t xml:space="preserve"> before </w:t>
    </w:r>
    <w:r w:rsidR="0064181C" w:rsidRPr="00B13B9F">
      <w:rPr>
        <w:color w:val="FF0000"/>
        <w:sz w:val="16"/>
      </w:rPr>
      <w:t>use.</w:t>
    </w:r>
  </w:p>
  <w:p w14:paraId="5D21A534" w14:textId="77777777" w:rsidR="00002E48" w:rsidRPr="00A10AF6" w:rsidRDefault="0041649C" w:rsidP="004A1B82">
    <w:pPr>
      <w:pStyle w:val="Footer"/>
      <w:tabs>
        <w:tab w:val="clear" w:pos="9026"/>
        <w:tab w:val="right" w:pos="9781"/>
      </w:tabs>
      <w:rPr>
        <w:rFonts w:ascii="Calibri" w:hAnsi="Calibri" w:cs="BrowalliaUPC"/>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547A4" w14:textId="77777777" w:rsidR="0041649C" w:rsidRDefault="0041649C">
      <w:pPr>
        <w:spacing w:after="0" w:line="240" w:lineRule="auto"/>
      </w:pPr>
      <w:r>
        <w:separator/>
      </w:r>
    </w:p>
  </w:footnote>
  <w:footnote w:type="continuationSeparator" w:id="0">
    <w:p w14:paraId="1EEA7E21" w14:textId="77777777" w:rsidR="0041649C" w:rsidRDefault="0041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8863" w14:textId="49396215" w:rsidR="00EC00C8" w:rsidRDefault="0041649C">
    <w:pPr>
      <w:pStyle w:val="Header"/>
    </w:pPr>
    <w:r>
      <w:rPr>
        <w:noProof/>
      </w:rPr>
      <w:pict w14:anchorId="7AB9E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0829" o:spid="_x0000_s2050" type="#_x0000_t136" style="position:absolute;margin-left:0;margin-top:0;width:484.1pt;height:207.4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DA89" w14:textId="476F3E5A" w:rsidR="00357FDE" w:rsidRDefault="0041649C" w:rsidP="00357FDE">
    <w:pPr>
      <w:pStyle w:val="Heading1"/>
      <w:pBdr>
        <w:bottom w:val="single" w:sz="4" w:space="1" w:color="7F7F7F" w:themeColor="text1" w:themeTint="80"/>
      </w:pBdr>
      <w:tabs>
        <w:tab w:val="center" w:pos="4890"/>
        <w:tab w:val="left" w:pos="5940"/>
        <w:tab w:val="right" w:pos="9781"/>
      </w:tabs>
      <w:ind w:right="-35"/>
      <w:rPr>
        <w:sz w:val="24"/>
      </w:rPr>
    </w:pPr>
    <w:bookmarkStart w:id="1" w:name="_Hlk519768440"/>
    <w:bookmarkStart w:id="2" w:name="_Hlk519768441"/>
    <w:r>
      <w:rPr>
        <w:noProof/>
      </w:rPr>
      <w:pict w14:anchorId="737E7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0830" o:spid="_x0000_s2051" type="#_x0000_t136" style="position:absolute;margin-left:0;margin-top:0;width:484.1pt;height:207.4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357FDE">
      <w:rPr>
        <w:sz w:val="24"/>
      </w:rPr>
      <w:tab/>
    </w:r>
    <w:r w:rsidR="00357FDE">
      <w:rPr>
        <w:sz w:val="24"/>
      </w:rPr>
      <w:tab/>
    </w:r>
    <w:r w:rsidR="00357FDE">
      <w:rPr>
        <w:sz w:val="24"/>
      </w:rPr>
      <w:tab/>
    </w:r>
  </w:p>
  <w:p w14:paraId="5A95BC25" w14:textId="2213C5A4" w:rsidR="00357FDE" w:rsidRPr="004A701B" w:rsidRDefault="009D74EA" w:rsidP="00357FDE">
    <w:pPr>
      <w:pStyle w:val="Heading1"/>
      <w:pBdr>
        <w:bottom w:val="single" w:sz="4" w:space="1" w:color="7F7F7F" w:themeColor="text1" w:themeTint="80"/>
      </w:pBdr>
      <w:tabs>
        <w:tab w:val="left" w:pos="7575"/>
      </w:tabs>
      <w:ind w:right="-35"/>
      <w:rPr>
        <w:rFonts w:asciiTheme="minorHAnsi" w:hAnsiTheme="minorHAnsi" w:cstheme="minorHAnsi"/>
        <w:b/>
        <w:color w:val="auto"/>
        <w:sz w:val="28"/>
        <w:szCs w:val="28"/>
      </w:rPr>
    </w:pPr>
    <w:r w:rsidRPr="009D74EA">
      <w:rPr>
        <w:rFonts w:asciiTheme="minorHAnsi" w:hAnsiTheme="minorHAnsi" w:cstheme="minorHAnsi"/>
        <w:b/>
        <w:color w:val="auto"/>
        <w:sz w:val="24"/>
        <w:szCs w:val="28"/>
      </w:rPr>
      <w:t xml:space="preserve">SCOPE OF THE QMS </w:t>
    </w:r>
    <w:r w:rsidRPr="001A4467">
      <w:rPr>
        <w:rFonts w:asciiTheme="minorHAnsi" w:hAnsiTheme="minorHAnsi" w:cstheme="minorHAnsi"/>
        <w:b/>
        <w:color w:val="auto"/>
        <w:sz w:val="24"/>
        <w:szCs w:val="28"/>
      </w:rPr>
      <w:t xml:space="preserve">FOR </w:t>
    </w:r>
    <w:r w:rsidRPr="001A4467">
      <w:rPr>
        <w:rFonts w:asciiTheme="minorHAnsi" w:hAnsiTheme="minorHAnsi" w:cstheme="minorHAnsi"/>
        <w:b/>
        <w:color w:val="FF0000"/>
        <w:sz w:val="24"/>
        <w:szCs w:val="28"/>
        <w:highlight w:val="yellow"/>
      </w:rPr>
      <w:t xml:space="preserve">&lt;INSERT </w:t>
    </w:r>
    <w:r w:rsidR="0064181C" w:rsidRPr="001A4467">
      <w:rPr>
        <w:rFonts w:asciiTheme="minorHAnsi" w:hAnsiTheme="minorHAnsi" w:cstheme="minorHAnsi"/>
        <w:b/>
        <w:color w:val="FF0000"/>
        <w:sz w:val="24"/>
        <w:szCs w:val="28"/>
        <w:highlight w:val="yellow"/>
      </w:rPr>
      <w:t>COMPANY NAME</w:t>
    </w:r>
    <w:r w:rsidRPr="001A4467">
      <w:rPr>
        <w:rFonts w:asciiTheme="minorHAnsi" w:hAnsiTheme="minorHAnsi" w:cstheme="minorHAnsi"/>
        <w:b/>
        <w:color w:val="FF0000"/>
        <w:sz w:val="24"/>
        <w:szCs w:val="28"/>
        <w:highlight w:val="yellow"/>
      </w:rPr>
      <w:t>&gt;</w:t>
    </w:r>
    <w:r w:rsidR="00357FDE">
      <w:rPr>
        <w:rFonts w:asciiTheme="minorHAnsi" w:hAnsiTheme="minorHAnsi" w:cstheme="minorHAnsi"/>
        <w:b/>
        <w:color w:val="FF0000"/>
        <w:sz w:val="28"/>
        <w:szCs w:val="28"/>
      </w:rPr>
      <w:tab/>
    </w:r>
  </w:p>
  <w:bookmarkEnd w:id="1"/>
  <w:bookmarkEnd w:id="2"/>
  <w:p w14:paraId="6F12C251" w14:textId="77777777" w:rsidR="008F66B8" w:rsidRDefault="0041649C" w:rsidP="00357FDE">
    <w:pPr>
      <w:pStyle w:val="Header"/>
      <w:tabs>
        <w:tab w:val="clear" w:pos="9026"/>
        <w:tab w:val="left" w:pos="810"/>
        <w:tab w:val="left" w:pos="900"/>
      </w:tabs>
      <w:ind w:right="-2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77B1" w14:textId="675F7E9C" w:rsidR="00EC00C8" w:rsidRDefault="0041649C">
    <w:pPr>
      <w:pStyle w:val="Header"/>
    </w:pPr>
    <w:r>
      <w:rPr>
        <w:noProof/>
      </w:rPr>
      <w:pict w14:anchorId="53D68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0828" o:spid="_x0000_s2049" type="#_x0000_t136" style="position:absolute;margin-left:0;margin-top:0;width:484.1pt;height:207.4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A5FBF"/>
    <w:multiLevelType w:val="hybridMultilevel"/>
    <w:tmpl w:val="F75C04F8"/>
    <w:lvl w:ilvl="0" w:tplc="23EA4EF8">
      <w:numFmt w:val="bullet"/>
      <w:lvlText w:val="-"/>
      <w:lvlJc w:val="left"/>
      <w:pPr>
        <w:ind w:left="502" w:hanging="360"/>
      </w:pPr>
      <w:rPr>
        <w:rFonts w:ascii="Calibri" w:eastAsiaTheme="minorHAns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367A1D12"/>
    <w:multiLevelType w:val="hybridMultilevel"/>
    <w:tmpl w:val="FA041DA4"/>
    <w:lvl w:ilvl="0" w:tplc="C76E4A94">
      <w:start w:val="1"/>
      <w:numFmt w:val="bullet"/>
      <w:lvlText w:val=""/>
      <w:lvlJc w:val="left"/>
      <w:pPr>
        <w:ind w:left="927" w:hanging="360"/>
      </w:pPr>
      <w:rPr>
        <w:rFonts w:ascii="Symbol" w:hAnsi="Symbol" w:hint="default"/>
      </w:rPr>
    </w:lvl>
    <w:lvl w:ilvl="1" w:tplc="67D60AEC" w:tentative="1">
      <w:start w:val="1"/>
      <w:numFmt w:val="bullet"/>
      <w:lvlText w:val="o"/>
      <w:lvlJc w:val="left"/>
      <w:pPr>
        <w:ind w:left="1647" w:hanging="360"/>
      </w:pPr>
      <w:rPr>
        <w:rFonts w:ascii="Courier New" w:hAnsi="Courier New" w:cs="Courier New" w:hint="default"/>
      </w:rPr>
    </w:lvl>
    <w:lvl w:ilvl="2" w:tplc="6FAA4170" w:tentative="1">
      <w:start w:val="1"/>
      <w:numFmt w:val="bullet"/>
      <w:lvlText w:val=""/>
      <w:lvlJc w:val="left"/>
      <w:pPr>
        <w:ind w:left="2367" w:hanging="360"/>
      </w:pPr>
      <w:rPr>
        <w:rFonts w:ascii="Wingdings" w:hAnsi="Wingdings" w:hint="default"/>
      </w:rPr>
    </w:lvl>
    <w:lvl w:ilvl="3" w:tplc="DFE4AF5C" w:tentative="1">
      <w:start w:val="1"/>
      <w:numFmt w:val="bullet"/>
      <w:lvlText w:val=""/>
      <w:lvlJc w:val="left"/>
      <w:pPr>
        <w:ind w:left="3087" w:hanging="360"/>
      </w:pPr>
      <w:rPr>
        <w:rFonts w:ascii="Symbol" w:hAnsi="Symbol" w:hint="default"/>
      </w:rPr>
    </w:lvl>
    <w:lvl w:ilvl="4" w:tplc="123E1498" w:tentative="1">
      <w:start w:val="1"/>
      <w:numFmt w:val="bullet"/>
      <w:lvlText w:val="o"/>
      <w:lvlJc w:val="left"/>
      <w:pPr>
        <w:ind w:left="3807" w:hanging="360"/>
      </w:pPr>
      <w:rPr>
        <w:rFonts w:ascii="Courier New" w:hAnsi="Courier New" w:cs="Courier New" w:hint="default"/>
      </w:rPr>
    </w:lvl>
    <w:lvl w:ilvl="5" w:tplc="800025F0" w:tentative="1">
      <w:start w:val="1"/>
      <w:numFmt w:val="bullet"/>
      <w:lvlText w:val=""/>
      <w:lvlJc w:val="left"/>
      <w:pPr>
        <w:ind w:left="4527" w:hanging="360"/>
      </w:pPr>
      <w:rPr>
        <w:rFonts w:ascii="Wingdings" w:hAnsi="Wingdings" w:hint="default"/>
      </w:rPr>
    </w:lvl>
    <w:lvl w:ilvl="6" w:tplc="AC9A160E" w:tentative="1">
      <w:start w:val="1"/>
      <w:numFmt w:val="bullet"/>
      <w:lvlText w:val=""/>
      <w:lvlJc w:val="left"/>
      <w:pPr>
        <w:ind w:left="5247" w:hanging="360"/>
      </w:pPr>
      <w:rPr>
        <w:rFonts w:ascii="Symbol" w:hAnsi="Symbol" w:hint="default"/>
      </w:rPr>
    </w:lvl>
    <w:lvl w:ilvl="7" w:tplc="6366DB6C" w:tentative="1">
      <w:start w:val="1"/>
      <w:numFmt w:val="bullet"/>
      <w:lvlText w:val="o"/>
      <w:lvlJc w:val="left"/>
      <w:pPr>
        <w:ind w:left="5967" w:hanging="360"/>
      </w:pPr>
      <w:rPr>
        <w:rFonts w:ascii="Courier New" w:hAnsi="Courier New" w:cs="Courier New" w:hint="default"/>
      </w:rPr>
    </w:lvl>
    <w:lvl w:ilvl="8" w:tplc="6D8C361E" w:tentative="1">
      <w:start w:val="1"/>
      <w:numFmt w:val="bullet"/>
      <w:lvlText w:val=""/>
      <w:lvlJc w:val="left"/>
      <w:pPr>
        <w:ind w:left="6687" w:hanging="360"/>
      </w:pPr>
      <w:rPr>
        <w:rFonts w:ascii="Wingdings" w:hAnsi="Wingdings" w:hint="default"/>
      </w:rPr>
    </w:lvl>
  </w:abstractNum>
  <w:abstractNum w:abstractNumId="2" w15:restartNumberingAfterBreak="0">
    <w:nsid w:val="3A895395"/>
    <w:multiLevelType w:val="hybridMultilevel"/>
    <w:tmpl w:val="8256B098"/>
    <w:lvl w:ilvl="0" w:tplc="7F288F98">
      <w:start w:val="1"/>
      <w:numFmt w:val="bullet"/>
      <w:lvlText w:val=""/>
      <w:lvlJc w:val="left"/>
      <w:pPr>
        <w:ind w:left="720" w:hanging="360"/>
      </w:pPr>
      <w:rPr>
        <w:rFonts w:ascii="Symbol" w:hAnsi="Symbol" w:hint="default"/>
      </w:rPr>
    </w:lvl>
    <w:lvl w:ilvl="1" w:tplc="7F288F9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560F9B"/>
    <w:multiLevelType w:val="hybridMultilevel"/>
    <w:tmpl w:val="86EA5384"/>
    <w:lvl w:ilvl="0" w:tplc="2E90C4CE">
      <w:numFmt w:val="bullet"/>
      <w:lvlText w:val="-"/>
      <w:lvlJc w:val="left"/>
      <w:pPr>
        <w:ind w:left="1069" w:hanging="360"/>
      </w:pPr>
      <w:rPr>
        <w:rFonts w:ascii="Calibri" w:eastAsia="Calibri"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F2"/>
    <w:rsid w:val="001A4467"/>
    <w:rsid w:val="002956FD"/>
    <w:rsid w:val="00320C2D"/>
    <w:rsid w:val="00357FDE"/>
    <w:rsid w:val="003C42C0"/>
    <w:rsid w:val="003F573B"/>
    <w:rsid w:val="0041649C"/>
    <w:rsid w:val="00500C5B"/>
    <w:rsid w:val="005635F2"/>
    <w:rsid w:val="005B3587"/>
    <w:rsid w:val="0064181C"/>
    <w:rsid w:val="006D37C4"/>
    <w:rsid w:val="006F4CC5"/>
    <w:rsid w:val="00794290"/>
    <w:rsid w:val="00795E2A"/>
    <w:rsid w:val="00805A77"/>
    <w:rsid w:val="009D74EA"/>
    <w:rsid w:val="00A002C9"/>
    <w:rsid w:val="00A40234"/>
    <w:rsid w:val="00A51213"/>
    <w:rsid w:val="00AE4F48"/>
    <w:rsid w:val="00C35C68"/>
    <w:rsid w:val="00E837AE"/>
    <w:rsid w:val="00EC00C8"/>
    <w:rsid w:val="00F427B2"/>
    <w:rsid w:val="00FB7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BD438"/>
  <w15:chartTrackingRefBased/>
  <w15:docId w15:val="{08CBC67C-5483-4F8E-8927-9F076B94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5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Heading1"/>
    <w:next w:val="Normal"/>
    <w:link w:val="Heading3Char"/>
    <w:uiPriority w:val="9"/>
    <w:unhideWhenUsed/>
    <w:qFormat/>
    <w:rsid w:val="005635F2"/>
    <w:pPr>
      <w:keepNext w:val="0"/>
      <w:keepLines w:val="0"/>
      <w:spacing w:before="0" w:after="240" w:line="276" w:lineRule="auto"/>
      <w:outlineLvl w:val="2"/>
    </w:pPr>
    <w:rPr>
      <w:rFonts w:asciiTheme="minorHAnsi" w:eastAsiaTheme="minorHAnsi" w:hAnsiTheme="minorHAnsi" w:cstheme="minorHAnsi"/>
      <w:b/>
      <w:color w:val="595959" w:themeColor="text1" w:themeTint="A6"/>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35F2"/>
    <w:rPr>
      <w:rFonts w:cstheme="minorHAnsi"/>
      <w:b/>
      <w:color w:val="595959" w:themeColor="text1" w:themeTint="A6"/>
      <w:sz w:val="36"/>
    </w:rPr>
  </w:style>
  <w:style w:type="paragraph" w:styleId="Header">
    <w:name w:val="header"/>
    <w:basedOn w:val="Normal"/>
    <w:link w:val="HeaderChar"/>
    <w:uiPriority w:val="99"/>
    <w:unhideWhenUsed/>
    <w:rsid w:val="00563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5F2"/>
  </w:style>
  <w:style w:type="paragraph" w:styleId="Footer">
    <w:name w:val="footer"/>
    <w:basedOn w:val="Normal"/>
    <w:link w:val="FooterChar"/>
    <w:uiPriority w:val="99"/>
    <w:unhideWhenUsed/>
    <w:rsid w:val="00563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5F2"/>
  </w:style>
  <w:style w:type="paragraph" w:styleId="ListParagraph">
    <w:name w:val="List Paragraph"/>
    <w:aliases w:val="2020 QC indent 2"/>
    <w:basedOn w:val="Normal"/>
    <w:link w:val="ListParagraphChar"/>
    <w:uiPriority w:val="34"/>
    <w:qFormat/>
    <w:rsid w:val="005635F2"/>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5635F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357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FDE"/>
    <w:rPr>
      <w:rFonts w:ascii="Segoe UI" w:hAnsi="Segoe UI" w:cs="Segoe UI"/>
      <w:sz w:val="18"/>
      <w:szCs w:val="18"/>
    </w:rPr>
  </w:style>
  <w:style w:type="character" w:customStyle="1" w:styleId="ListParagraphChar">
    <w:name w:val="List Paragraph Char"/>
    <w:aliases w:val="2020 QC indent 2 Char"/>
    <w:basedOn w:val="DefaultParagraphFont"/>
    <w:link w:val="ListParagraph"/>
    <w:uiPriority w:val="34"/>
    <w:rsid w:val="00357FDE"/>
    <w:rPr>
      <w:rFonts w:ascii="Calibri" w:hAnsi="Calibri" w:cs="Times New Roman"/>
    </w:rPr>
  </w:style>
  <w:style w:type="paragraph" w:customStyle="1" w:styleId="Body">
    <w:name w:val="Body"/>
    <w:basedOn w:val="Normal"/>
    <w:link w:val="BodyChar"/>
    <w:qFormat/>
    <w:rsid w:val="00FB73B5"/>
    <w:pPr>
      <w:spacing w:after="80" w:line="288" w:lineRule="auto"/>
      <w:ind w:left="709"/>
      <w:outlineLvl w:val="3"/>
    </w:pPr>
    <w:rPr>
      <w:rFonts w:ascii="Times New Roman" w:eastAsia="Calibri" w:hAnsi="Times New Roman" w:cs="Times New Roman"/>
      <w:sz w:val="21"/>
      <w:lang w:eastAsia="en-AU"/>
    </w:rPr>
  </w:style>
  <w:style w:type="character" w:customStyle="1" w:styleId="BodyChar">
    <w:name w:val="Body Char"/>
    <w:basedOn w:val="DefaultParagraphFont"/>
    <w:link w:val="Body"/>
    <w:rsid w:val="00FB73B5"/>
    <w:rPr>
      <w:rFonts w:ascii="Times New Roman" w:eastAsia="Calibri" w:hAnsi="Times New Roman" w:cs="Times New Roman"/>
      <w:sz w:val="21"/>
      <w:lang w:eastAsia="en-AU"/>
    </w:rPr>
  </w:style>
  <w:style w:type="character" w:styleId="PlaceholderText">
    <w:name w:val="Placeholder Text"/>
    <w:basedOn w:val="DefaultParagraphFont"/>
    <w:uiPriority w:val="99"/>
    <w:semiHidden/>
    <w:rsid w:val="00FB73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B660708CC64D37846DA9EC700D847A"/>
        <w:category>
          <w:name w:val="General"/>
          <w:gallery w:val="placeholder"/>
        </w:category>
        <w:types>
          <w:type w:val="bbPlcHdr"/>
        </w:types>
        <w:behaviors>
          <w:behavior w:val="content"/>
        </w:behaviors>
        <w:guid w:val="{E67F8D55-B1E8-4B99-A63B-76F4CDFF631A}"/>
      </w:docPartPr>
      <w:docPartBody>
        <w:p w:rsidR="009372AD" w:rsidRDefault="00455C66" w:rsidP="00455C66">
          <w:pPr>
            <w:pStyle w:val="A2B660708CC64D37846DA9EC700D847A"/>
          </w:pPr>
          <w:r w:rsidRPr="00432627">
            <w:rPr>
              <w:rStyle w:val="PlaceholderText"/>
            </w:rPr>
            <w:t>[Company]</w:t>
          </w:r>
        </w:p>
      </w:docPartBody>
    </w:docPart>
    <w:docPart>
      <w:docPartPr>
        <w:name w:val="C13D74BA24D444C79D7B3E00BDD70BF5"/>
        <w:category>
          <w:name w:val="General"/>
          <w:gallery w:val="placeholder"/>
        </w:category>
        <w:types>
          <w:type w:val="bbPlcHdr"/>
        </w:types>
        <w:behaviors>
          <w:behavior w:val="content"/>
        </w:behaviors>
        <w:guid w:val="{40A64D09-822B-407D-9B15-57EDC073CF25}"/>
      </w:docPartPr>
      <w:docPartBody>
        <w:p w:rsidR="009372AD" w:rsidRDefault="00455C66" w:rsidP="00455C66">
          <w:pPr>
            <w:pStyle w:val="C13D74BA24D444C79D7B3E00BDD70BF5"/>
          </w:pPr>
          <w:r w:rsidRPr="0043262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UPC">
    <w:altName w:val="Arial Unicode MS"/>
    <w:charset w:val="DE"/>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66"/>
    <w:rsid w:val="00445CA9"/>
    <w:rsid w:val="00455C66"/>
    <w:rsid w:val="009372AD"/>
    <w:rsid w:val="00AA00D8"/>
    <w:rsid w:val="00D26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C66"/>
    <w:rPr>
      <w:color w:val="808080"/>
    </w:rPr>
  </w:style>
  <w:style w:type="paragraph" w:customStyle="1" w:styleId="A2B660708CC64D37846DA9EC700D847A">
    <w:name w:val="A2B660708CC64D37846DA9EC700D847A"/>
    <w:rsid w:val="00455C66"/>
  </w:style>
  <w:style w:type="paragraph" w:customStyle="1" w:styleId="C13D74BA24D444C79D7B3E00BDD70BF5">
    <w:name w:val="C13D74BA24D444C79D7B3E00BDD70BF5"/>
    <w:rsid w:val="00455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 Liddy</dc:creator>
  <cp:keywords/>
  <dc:description/>
  <cp:lastModifiedBy>Zoey Ng</cp:lastModifiedBy>
  <cp:revision>2</cp:revision>
  <dcterms:created xsi:type="dcterms:W3CDTF">2019-08-08T23:56:00Z</dcterms:created>
  <dcterms:modified xsi:type="dcterms:W3CDTF">2019-08-08T23:56:00Z</dcterms:modified>
</cp:coreProperties>
</file>