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0EC08" w14:textId="77777777" w:rsidR="009C4303" w:rsidRPr="0017483C" w:rsidRDefault="009C4303" w:rsidP="009C4303">
      <w:pPr>
        <w:rPr>
          <w:b/>
          <w:noProof/>
          <w:color w:val="404040" w:themeColor="text1" w:themeTint="BF"/>
          <w:sz w:val="36"/>
          <w:lang w:eastAsia="en-AU"/>
        </w:rPr>
      </w:pPr>
    </w:p>
    <w:p w14:paraId="2F73BDEE" w14:textId="62A8DF73" w:rsidR="00C934C3" w:rsidRDefault="00C934C3" w:rsidP="00C934C3">
      <w:pPr>
        <w:rPr>
          <w:b/>
          <w:noProof/>
          <w:sz w:val="44"/>
          <w:lang w:eastAsia="en-AU"/>
        </w:rPr>
      </w:pPr>
      <w:r>
        <w:rPr>
          <w:b/>
          <w:noProof/>
          <w:sz w:val="44"/>
          <w:lang w:eastAsia="en-AU"/>
        </w:rPr>
        <w:t xml:space="preserve">External Assessors Manual - </w:t>
      </w:r>
      <w:r w:rsidRPr="00C934C3">
        <w:rPr>
          <w:b/>
          <w:noProof/>
          <w:sz w:val="44"/>
          <w:lang w:eastAsia="en-AU"/>
        </w:rPr>
        <w:t xml:space="preserve">How to access evidence </w:t>
      </w:r>
      <w:r>
        <w:rPr>
          <w:b/>
          <w:noProof/>
          <w:sz w:val="44"/>
          <w:lang w:eastAsia="en-AU"/>
        </w:rPr>
        <w:t>in the</w:t>
      </w:r>
      <w:r w:rsidRPr="00C934C3">
        <w:rPr>
          <w:b/>
          <w:noProof/>
          <w:sz w:val="44"/>
          <w:lang w:eastAsia="en-AU"/>
        </w:rPr>
        <w:t xml:space="preserve"> LOGIQC Q</w:t>
      </w:r>
      <w:r>
        <w:rPr>
          <w:b/>
          <w:noProof/>
          <w:sz w:val="44"/>
          <w:lang w:eastAsia="en-AU"/>
        </w:rPr>
        <w:t>MS</w:t>
      </w:r>
      <w:r w:rsidRPr="00C934C3">
        <w:rPr>
          <w:b/>
          <w:noProof/>
          <w:sz w:val="44"/>
          <w:lang w:eastAsia="en-AU"/>
        </w:rPr>
        <w:t xml:space="preserve"> </w:t>
      </w:r>
      <w:r>
        <w:rPr>
          <w:b/>
          <w:noProof/>
          <w:sz w:val="44"/>
          <w:lang w:eastAsia="en-AU"/>
        </w:rPr>
        <w:t>for Practices with the Accreditation Module</w:t>
      </w:r>
    </w:p>
    <w:p w14:paraId="064A2FED" w14:textId="77777777" w:rsidR="00C934C3" w:rsidRDefault="00C934C3" w:rsidP="00C934C3">
      <w:pPr>
        <w:rPr>
          <w:b/>
          <w:noProof/>
          <w:sz w:val="44"/>
          <w:lang w:eastAsia="en-AU"/>
        </w:rPr>
      </w:pPr>
    </w:p>
    <w:p w14:paraId="671D501E" w14:textId="77777777" w:rsidR="00C934C3" w:rsidRDefault="00C934C3" w:rsidP="00C934C3">
      <w:pPr>
        <w:ind w:right="-318"/>
        <w:rPr>
          <w:b/>
          <w:sz w:val="28"/>
          <w:szCs w:val="28"/>
        </w:rPr>
      </w:pPr>
      <w:bookmarkStart w:id="0" w:name="_Hlk536082519"/>
      <w:r>
        <w:rPr>
          <w:b/>
          <w:sz w:val="28"/>
          <w:szCs w:val="28"/>
        </w:rPr>
        <w:t>Designed</w:t>
      </w:r>
      <w:r w:rsidRPr="00442AC3">
        <w:rPr>
          <w:b/>
          <w:sz w:val="28"/>
          <w:szCs w:val="28"/>
        </w:rPr>
        <w:t xml:space="preserve"> for the CORNERSTONE® accreditation and Foundation certification process.</w:t>
      </w:r>
    </w:p>
    <w:bookmarkEnd w:id="0"/>
    <w:p w14:paraId="6F9A63E3" w14:textId="4F28B603" w:rsidR="002714E5" w:rsidRDefault="002714E5" w:rsidP="002A6EF1">
      <w:pPr>
        <w:ind w:right="-318"/>
        <w:rPr>
          <w:b/>
          <w:sz w:val="28"/>
          <w:szCs w:val="28"/>
        </w:rPr>
      </w:pPr>
    </w:p>
    <w:p w14:paraId="67DB80CE" w14:textId="6AE9585E" w:rsidR="00C934C3" w:rsidRDefault="00C934C3" w:rsidP="002A6EF1">
      <w:pPr>
        <w:ind w:right="-318"/>
        <w:rPr>
          <w:b/>
          <w:sz w:val="28"/>
          <w:szCs w:val="28"/>
        </w:rPr>
      </w:pPr>
    </w:p>
    <w:p w14:paraId="10F6E39E" w14:textId="77777777" w:rsidR="002714E5" w:rsidRDefault="002714E5" w:rsidP="002A6EF1">
      <w:pPr>
        <w:ind w:right="-318"/>
        <w:rPr>
          <w:b/>
          <w:sz w:val="28"/>
          <w:szCs w:val="28"/>
        </w:rPr>
      </w:pPr>
    </w:p>
    <w:p w14:paraId="6A86EA74" w14:textId="77777777" w:rsidR="002714E5" w:rsidRDefault="002714E5" w:rsidP="002A6EF1">
      <w:pPr>
        <w:ind w:right="-318"/>
        <w:rPr>
          <w:b/>
          <w:sz w:val="28"/>
          <w:szCs w:val="28"/>
        </w:rPr>
      </w:pPr>
    </w:p>
    <w:p w14:paraId="54DD5DF9" w14:textId="77777777" w:rsidR="002714E5" w:rsidRDefault="002714E5" w:rsidP="002A6EF1">
      <w:pPr>
        <w:ind w:right="-318"/>
        <w:rPr>
          <w:b/>
          <w:sz w:val="28"/>
          <w:szCs w:val="28"/>
        </w:rPr>
      </w:pPr>
    </w:p>
    <w:p w14:paraId="4B6B00A2" w14:textId="77777777" w:rsidR="002714E5" w:rsidRDefault="002714E5" w:rsidP="002A6EF1">
      <w:pPr>
        <w:ind w:right="-318"/>
        <w:rPr>
          <w:b/>
          <w:sz w:val="28"/>
          <w:szCs w:val="28"/>
        </w:rPr>
      </w:pPr>
    </w:p>
    <w:p w14:paraId="3ACD87B6" w14:textId="77777777" w:rsidR="002714E5" w:rsidRDefault="002714E5" w:rsidP="002A6EF1">
      <w:pPr>
        <w:ind w:right="-318"/>
        <w:rPr>
          <w:b/>
          <w:sz w:val="28"/>
          <w:szCs w:val="28"/>
        </w:rPr>
      </w:pPr>
    </w:p>
    <w:p w14:paraId="79DC2628" w14:textId="090E3ACC" w:rsidR="002714E5" w:rsidRDefault="002714E5" w:rsidP="002A6EF1">
      <w:pPr>
        <w:ind w:right="-318"/>
        <w:rPr>
          <w:b/>
          <w:sz w:val="28"/>
          <w:szCs w:val="28"/>
        </w:rPr>
      </w:pPr>
    </w:p>
    <w:p w14:paraId="01F261EE" w14:textId="4AA39551" w:rsidR="001C4D38" w:rsidRDefault="001C4D38" w:rsidP="002A6EF1">
      <w:pPr>
        <w:ind w:right="-318"/>
        <w:rPr>
          <w:b/>
          <w:sz w:val="28"/>
          <w:szCs w:val="28"/>
        </w:rPr>
      </w:pPr>
    </w:p>
    <w:p w14:paraId="00A42491" w14:textId="341B7484" w:rsidR="001C4D38" w:rsidRDefault="001C4D38" w:rsidP="002A6EF1">
      <w:pPr>
        <w:ind w:right="-318"/>
        <w:rPr>
          <w:b/>
          <w:sz w:val="28"/>
          <w:szCs w:val="28"/>
        </w:rPr>
      </w:pPr>
    </w:p>
    <w:p w14:paraId="1C51BB61" w14:textId="77777777" w:rsidR="001C4D38" w:rsidRPr="00442AC3" w:rsidRDefault="001C4D38" w:rsidP="002A6EF1">
      <w:pPr>
        <w:ind w:right="-318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0"/>
      </w:tblGrid>
      <w:tr w:rsidR="00677830" w14:paraId="37D2EFE2" w14:textId="77777777" w:rsidTr="0080396D">
        <w:tc>
          <w:tcPr>
            <w:tcW w:w="10450" w:type="dxa"/>
            <w:shd w:val="clear" w:color="auto" w:fill="F2F2F2" w:themeFill="background1" w:themeFillShade="F2"/>
          </w:tcPr>
          <w:p w14:paraId="0DB0D2F5" w14:textId="77777777" w:rsidR="00677830" w:rsidRPr="002F1FF8" w:rsidRDefault="00677830" w:rsidP="0080396D">
            <w:pPr>
              <w:rPr>
                <w:b/>
                <w:sz w:val="32"/>
              </w:rPr>
            </w:pPr>
            <w:r w:rsidRPr="002F1FF8">
              <w:rPr>
                <w:b/>
                <w:sz w:val="32"/>
              </w:rPr>
              <w:t>Support</w:t>
            </w:r>
          </w:p>
          <w:p w14:paraId="5399AF62" w14:textId="77777777" w:rsidR="00677830" w:rsidRDefault="00677830" w:rsidP="0080396D">
            <w:r>
              <w:t>Assessors can use the following channels to access support from LOGIQC staff:</w:t>
            </w:r>
          </w:p>
          <w:p w14:paraId="49EA2D26" w14:textId="77777777" w:rsidR="00677830" w:rsidRDefault="00677830" w:rsidP="0080396D">
            <w:r>
              <w:t xml:space="preserve">Email: </w:t>
            </w:r>
            <w:hyperlink r:id="rId8" w:history="1">
              <w:r w:rsidRPr="004F5B5A">
                <w:rPr>
                  <w:rStyle w:val="Hyperlink"/>
                </w:rPr>
                <w:t>helpdesk@logiqc.com.au</w:t>
              </w:r>
            </w:hyperlink>
            <w:r>
              <w:t xml:space="preserve">        Telephone:  0800 002 280 (AEST 9am – 5pm)</w:t>
            </w:r>
          </w:p>
        </w:tc>
      </w:tr>
    </w:tbl>
    <w:p w14:paraId="711EE44C" w14:textId="77777777" w:rsidR="009C4303" w:rsidRDefault="009C4303" w:rsidP="002A6EF1"/>
    <w:p w14:paraId="10F600A5" w14:textId="41DC31F4" w:rsidR="0020101E" w:rsidRPr="0020101E" w:rsidRDefault="0020101E" w:rsidP="0020101E">
      <w:pPr>
        <w:tabs>
          <w:tab w:val="left" w:pos="3735"/>
        </w:tabs>
      </w:pPr>
      <w:r>
        <w:tab/>
      </w:r>
    </w:p>
    <w:p w14:paraId="7393C45A" w14:textId="77777777" w:rsidR="0020101E" w:rsidRPr="0020101E" w:rsidRDefault="0020101E" w:rsidP="0020101E"/>
    <w:p w14:paraId="74AA3C67" w14:textId="77777777" w:rsidR="0020101E" w:rsidRPr="0020101E" w:rsidRDefault="0020101E" w:rsidP="0020101E"/>
    <w:p w14:paraId="32498C37" w14:textId="06E0AF1A" w:rsidR="0020101E" w:rsidRPr="0020101E" w:rsidRDefault="0020101E" w:rsidP="0020101E">
      <w:pPr>
        <w:sectPr w:rsidR="0020101E" w:rsidRPr="0020101E" w:rsidSect="00FF1A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693" w:right="737" w:bottom="709" w:left="709" w:header="0" w:footer="414" w:gutter="0"/>
          <w:cols w:space="720"/>
          <w:docGrid w:linePitch="360"/>
        </w:sectPr>
      </w:pPr>
    </w:p>
    <w:p w14:paraId="4A94EF06" w14:textId="77777777" w:rsidR="002714E5" w:rsidRPr="009004B8" w:rsidRDefault="002714E5" w:rsidP="009004B8">
      <w:pPr>
        <w:pStyle w:val="Body"/>
        <w:rPr>
          <w:b/>
        </w:rPr>
      </w:pPr>
      <w:bookmarkStart w:id="1" w:name="_Toc488583667"/>
      <w:r w:rsidRPr="009004B8">
        <w:rPr>
          <w:b/>
        </w:rPr>
        <w:lastRenderedPageBreak/>
        <w:t>Contents</w:t>
      </w:r>
      <w:bookmarkEnd w:id="1"/>
    </w:p>
    <w:p w14:paraId="2F5DE6CC" w14:textId="01F0B17D" w:rsidR="009547F1" w:rsidRDefault="002714E5">
      <w:pPr>
        <w:pStyle w:val="TOC2"/>
        <w:tabs>
          <w:tab w:val="right" w:leader="dot" w:pos="9747"/>
        </w:tabs>
        <w:rPr>
          <w:rFonts w:eastAsiaTheme="minorEastAsia"/>
          <w:noProof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13970809" w:history="1">
        <w:r w:rsidR="009547F1" w:rsidRPr="008A7372">
          <w:rPr>
            <w:rStyle w:val="Hyperlink"/>
            <w:noProof/>
          </w:rPr>
          <w:t>Background</w:t>
        </w:r>
        <w:r w:rsidR="009547F1">
          <w:rPr>
            <w:noProof/>
            <w:webHidden/>
          </w:rPr>
          <w:tab/>
        </w:r>
        <w:r w:rsidR="009547F1">
          <w:rPr>
            <w:noProof/>
            <w:webHidden/>
          </w:rPr>
          <w:fldChar w:fldCharType="begin"/>
        </w:r>
        <w:r w:rsidR="009547F1">
          <w:rPr>
            <w:noProof/>
            <w:webHidden/>
          </w:rPr>
          <w:instrText xml:space="preserve"> PAGEREF _Toc513970809 \h </w:instrText>
        </w:r>
        <w:r w:rsidR="009547F1">
          <w:rPr>
            <w:noProof/>
            <w:webHidden/>
          </w:rPr>
        </w:r>
        <w:r w:rsidR="009547F1">
          <w:rPr>
            <w:noProof/>
            <w:webHidden/>
          </w:rPr>
          <w:fldChar w:fldCharType="separate"/>
        </w:r>
        <w:r w:rsidR="009547F1">
          <w:rPr>
            <w:noProof/>
            <w:webHidden/>
          </w:rPr>
          <w:t>3</w:t>
        </w:r>
        <w:r w:rsidR="009547F1">
          <w:rPr>
            <w:noProof/>
            <w:webHidden/>
          </w:rPr>
          <w:fldChar w:fldCharType="end"/>
        </w:r>
      </w:hyperlink>
    </w:p>
    <w:p w14:paraId="406BE292" w14:textId="694D1F08" w:rsidR="009547F1" w:rsidRDefault="0025178A">
      <w:pPr>
        <w:pStyle w:val="TOC2"/>
        <w:tabs>
          <w:tab w:val="right" w:leader="dot" w:pos="9747"/>
        </w:tabs>
        <w:rPr>
          <w:rFonts w:eastAsiaTheme="minorEastAsia"/>
          <w:noProof/>
          <w:lang w:eastAsia="en-AU"/>
        </w:rPr>
      </w:pPr>
      <w:hyperlink w:anchor="_Toc513970810" w:history="1">
        <w:r w:rsidR="009547F1" w:rsidRPr="008A7372">
          <w:rPr>
            <w:rStyle w:val="Hyperlink"/>
            <w:noProof/>
          </w:rPr>
          <w:t>Process</w:t>
        </w:r>
        <w:r w:rsidR="009547F1">
          <w:rPr>
            <w:noProof/>
            <w:webHidden/>
          </w:rPr>
          <w:tab/>
        </w:r>
        <w:r w:rsidR="009547F1">
          <w:rPr>
            <w:noProof/>
            <w:webHidden/>
          </w:rPr>
          <w:fldChar w:fldCharType="begin"/>
        </w:r>
        <w:r w:rsidR="009547F1">
          <w:rPr>
            <w:noProof/>
            <w:webHidden/>
          </w:rPr>
          <w:instrText xml:space="preserve"> PAGEREF _Toc513970810 \h </w:instrText>
        </w:r>
        <w:r w:rsidR="009547F1">
          <w:rPr>
            <w:noProof/>
            <w:webHidden/>
          </w:rPr>
        </w:r>
        <w:r w:rsidR="009547F1">
          <w:rPr>
            <w:noProof/>
            <w:webHidden/>
          </w:rPr>
          <w:fldChar w:fldCharType="separate"/>
        </w:r>
        <w:r w:rsidR="009547F1">
          <w:rPr>
            <w:noProof/>
            <w:webHidden/>
          </w:rPr>
          <w:t>3</w:t>
        </w:r>
        <w:r w:rsidR="009547F1">
          <w:rPr>
            <w:noProof/>
            <w:webHidden/>
          </w:rPr>
          <w:fldChar w:fldCharType="end"/>
        </w:r>
      </w:hyperlink>
    </w:p>
    <w:p w14:paraId="05DFD94D" w14:textId="6AC8060D" w:rsidR="009547F1" w:rsidRDefault="0025178A">
      <w:pPr>
        <w:pStyle w:val="TOC2"/>
        <w:tabs>
          <w:tab w:val="right" w:leader="dot" w:pos="9747"/>
        </w:tabs>
        <w:rPr>
          <w:rFonts w:eastAsiaTheme="minorEastAsia"/>
          <w:noProof/>
          <w:lang w:eastAsia="en-AU"/>
        </w:rPr>
      </w:pPr>
      <w:hyperlink w:anchor="_Toc513970811" w:history="1">
        <w:r w:rsidR="009547F1" w:rsidRPr="008A7372">
          <w:rPr>
            <w:rStyle w:val="Hyperlink"/>
            <w:noProof/>
          </w:rPr>
          <w:t>Roles as responsibilities</w:t>
        </w:r>
        <w:r w:rsidR="009547F1">
          <w:rPr>
            <w:noProof/>
            <w:webHidden/>
          </w:rPr>
          <w:tab/>
        </w:r>
        <w:r w:rsidR="009547F1">
          <w:rPr>
            <w:noProof/>
            <w:webHidden/>
          </w:rPr>
          <w:fldChar w:fldCharType="begin"/>
        </w:r>
        <w:r w:rsidR="009547F1">
          <w:rPr>
            <w:noProof/>
            <w:webHidden/>
          </w:rPr>
          <w:instrText xml:space="preserve"> PAGEREF _Toc513970811 \h </w:instrText>
        </w:r>
        <w:r w:rsidR="009547F1">
          <w:rPr>
            <w:noProof/>
            <w:webHidden/>
          </w:rPr>
        </w:r>
        <w:r w:rsidR="009547F1">
          <w:rPr>
            <w:noProof/>
            <w:webHidden/>
          </w:rPr>
          <w:fldChar w:fldCharType="separate"/>
        </w:r>
        <w:r w:rsidR="009547F1">
          <w:rPr>
            <w:noProof/>
            <w:webHidden/>
          </w:rPr>
          <w:t>3</w:t>
        </w:r>
        <w:r w:rsidR="009547F1">
          <w:rPr>
            <w:noProof/>
            <w:webHidden/>
          </w:rPr>
          <w:fldChar w:fldCharType="end"/>
        </w:r>
      </w:hyperlink>
    </w:p>
    <w:p w14:paraId="77A025C7" w14:textId="2414FAFC" w:rsidR="009547F1" w:rsidRDefault="0025178A">
      <w:pPr>
        <w:pStyle w:val="TOC2"/>
        <w:tabs>
          <w:tab w:val="right" w:leader="dot" w:pos="9747"/>
        </w:tabs>
        <w:rPr>
          <w:rFonts w:eastAsiaTheme="minorEastAsia"/>
          <w:noProof/>
          <w:lang w:eastAsia="en-AU"/>
        </w:rPr>
      </w:pPr>
      <w:hyperlink w:anchor="_Toc513970812" w:history="1">
        <w:r w:rsidR="009547F1" w:rsidRPr="008A7372">
          <w:rPr>
            <w:rStyle w:val="Hyperlink"/>
            <w:noProof/>
          </w:rPr>
          <w:t>What practices need to do</w:t>
        </w:r>
        <w:r w:rsidR="009547F1">
          <w:rPr>
            <w:noProof/>
            <w:webHidden/>
          </w:rPr>
          <w:tab/>
        </w:r>
        <w:r w:rsidR="009547F1">
          <w:rPr>
            <w:noProof/>
            <w:webHidden/>
          </w:rPr>
          <w:fldChar w:fldCharType="begin"/>
        </w:r>
        <w:r w:rsidR="009547F1">
          <w:rPr>
            <w:noProof/>
            <w:webHidden/>
          </w:rPr>
          <w:instrText xml:space="preserve"> PAGEREF _Toc513970812 \h </w:instrText>
        </w:r>
        <w:r w:rsidR="009547F1">
          <w:rPr>
            <w:noProof/>
            <w:webHidden/>
          </w:rPr>
        </w:r>
        <w:r w:rsidR="009547F1">
          <w:rPr>
            <w:noProof/>
            <w:webHidden/>
          </w:rPr>
          <w:fldChar w:fldCharType="separate"/>
        </w:r>
        <w:r w:rsidR="009547F1">
          <w:rPr>
            <w:noProof/>
            <w:webHidden/>
          </w:rPr>
          <w:t>4</w:t>
        </w:r>
        <w:r w:rsidR="009547F1">
          <w:rPr>
            <w:noProof/>
            <w:webHidden/>
          </w:rPr>
          <w:fldChar w:fldCharType="end"/>
        </w:r>
      </w:hyperlink>
    </w:p>
    <w:p w14:paraId="55D63615" w14:textId="0C89128A" w:rsidR="009547F1" w:rsidRDefault="0025178A">
      <w:pPr>
        <w:pStyle w:val="TOC2"/>
        <w:tabs>
          <w:tab w:val="right" w:leader="dot" w:pos="9747"/>
        </w:tabs>
        <w:rPr>
          <w:rFonts w:eastAsiaTheme="minorEastAsia"/>
          <w:noProof/>
          <w:lang w:eastAsia="en-AU"/>
        </w:rPr>
      </w:pPr>
      <w:hyperlink w:anchor="_Toc513970813" w:history="1">
        <w:r w:rsidR="009547F1" w:rsidRPr="008A7372">
          <w:rPr>
            <w:rStyle w:val="Hyperlink"/>
            <w:noProof/>
          </w:rPr>
          <w:t>What assessors need to do</w:t>
        </w:r>
        <w:r w:rsidR="009547F1">
          <w:rPr>
            <w:noProof/>
            <w:webHidden/>
          </w:rPr>
          <w:tab/>
        </w:r>
        <w:r w:rsidR="009547F1">
          <w:rPr>
            <w:noProof/>
            <w:webHidden/>
          </w:rPr>
          <w:fldChar w:fldCharType="begin"/>
        </w:r>
        <w:r w:rsidR="009547F1">
          <w:rPr>
            <w:noProof/>
            <w:webHidden/>
          </w:rPr>
          <w:instrText xml:space="preserve"> PAGEREF _Toc513970813 \h </w:instrText>
        </w:r>
        <w:r w:rsidR="009547F1">
          <w:rPr>
            <w:noProof/>
            <w:webHidden/>
          </w:rPr>
        </w:r>
        <w:r w:rsidR="009547F1">
          <w:rPr>
            <w:noProof/>
            <w:webHidden/>
          </w:rPr>
          <w:fldChar w:fldCharType="separate"/>
        </w:r>
        <w:r w:rsidR="009547F1">
          <w:rPr>
            <w:noProof/>
            <w:webHidden/>
          </w:rPr>
          <w:t>5</w:t>
        </w:r>
        <w:r w:rsidR="009547F1">
          <w:rPr>
            <w:noProof/>
            <w:webHidden/>
          </w:rPr>
          <w:fldChar w:fldCharType="end"/>
        </w:r>
      </w:hyperlink>
    </w:p>
    <w:p w14:paraId="15E5A7F6" w14:textId="29EE4AB5" w:rsidR="009547F1" w:rsidRDefault="0025178A">
      <w:pPr>
        <w:pStyle w:val="TOC2"/>
        <w:tabs>
          <w:tab w:val="right" w:leader="dot" w:pos="9747"/>
        </w:tabs>
        <w:rPr>
          <w:rFonts w:eastAsiaTheme="minorEastAsia"/>
          <w:noProof/>
          <w:lang w:eastAsia="en-AU"/>
        </w:rPr>
      </w:pPr>
      <w:hyperlink w:anchor="_Toc513970814" w:history="1">
        <w:r w:rsidR="009547F1" w:rsidRPr="008A7372">
          <w:rPr>
            <w:rStyle w:val="Hyperlink"/>
            <w:noProof/>
          </w:rPr>
          <w:t>Searching for certain criteria</w:t>
        </w:r>
        <w:r w:rsidR="009547F1">
          <w:rPr>
            <w:noProof/>
            <w:webHidden/>
          </w:rPr>
          <w:tab/>
        </w:r>
        <w:r w:rsidR="009547F1">
          <w:rPr>
            <w:noProof/>
            <w:webHidden/>
          </w:rPr>
          <w:fldChar w:fldCharType="begin"/>
        </w:r>
        <w:r w:rsidR="009547F1">
          <w:rPr>
            <w:noProof/>
            <w:webHidden/>
          </w:rPr>
          <w:instrText xml:space="preserve"> PAGEREF _Toc513970814 \h </w:instrText>
        </w:r>
        <w:r w:rsidR="009547F1">
          <w:rPr>
            <w:noProof/>
            <w:webHidden/>
          </w:rPr>
        </w:r>
        <w:r w:rsidR="009547F1">
          <w:rPr>
            <w:noProof/>
            <w:webHidden/>
          </w:rPr>
          <w:fldChar w:fldCharType="separate"/>
        </w:r>
        <w:r w:rsidR="009547F1">
          <w:rPr>
            <w:noProof/>
            <w:webHidden/>
          </w:rPr>
          <w:t>6</w:t>
        </w:r>
        <w:r w:rsidR="009547F1">
          <w:rPr>
            <w:noProof/>
            <w:webHidden/>
          </w:rPr>
          <w:fldChar w:fldCharType="end"/>
        </w:r>
      </w:hyperlink>
    </w:p>
    <w:p w14:paraId="26694429" w14:textId="2F16EF00" w:rsidR="009547F1" w:rsidRDefault="0025178A">
      <w:pPr>
        <w:pStyle w:val="TOC2"/>
        <w:tabs>
          <w:tab w:val="right" w:leader="dot" w:pos="9747"/>
        </w:tabs>
        <w:rPr>
          <w:rFonts w:eastAsiaTheme="minorEastAsia"/>
          <w:noProof/>
          <w:lang w:eastAsia="en-AU"/>
        </w:rPr>
      </w:pPr>
      <w:hyperlink w:anchor="_Toc513970815" w:history="1">
        <w:r w:rsidR="009547F1" w:rsidRPr="008A7372">
          <w:rPr>
            <w:rStyle w:val="Hyperlink"/>
            <w:noProof/>
          </w:rPr>
          <w:t>Searching for annual program indicators</w:t>
        </w:r>
        <w:r w:rsidR="009547F1">
          <w:rPr>
            <w:noProof/>
            <w:webHidden/>
          </w:rPr>
          <w:tab/>
        </w:r>
        <w:r w:rsidR="009547F1">
          <w:rPr>
            <w:noProof/>
            <w:webHidden/>
          </w:rPr>
          <w:fldChar w:fldCharType="begin"/>
        </w:r>
        <w:r w:rsidR="009547F1">
          <w:rPr>
            <w:noProof/>
            <w:webHidden/>
          </w:rPr>
          <w:instrText xml:space="preserve"> PAGEREF _Toc513970815 \h </w:instrText>
        </w:r>
        <w:r w:rsidR="009547F1">
          <w:rPr>
            <w:noProof/>
            <w:webHidden/>
          </w:rPr>
        </w:r>
        <w:r w:rsidR="009547F1">
          <w:rPr>
            <w:noProof/>
            <w:webHidden/>
          </w:rPr>
          <w:fldChar w:fldCharType="separate"/>
        </w:r>
        <w:r w:rsidR="009547F1">
          <w:rPr>
            <w:noProof/>
            <w:webHidden/>
          </w:rPr>
          <w:t>6</w:t>
        </w:r>
        <w:r w:rsidR="009547F1">
          <w:rPr>
            <w:noProof/>
            <w:webHidden/>
          </w:rPr>
          <w:fldChar w:fldCharType="end"/>
        </w:r>
      </w:hyperlink>
    </w:p>
    <w:p w14:paraId="2F68B0C9" w14:textId="3F1B3801" w:rsidR="009547F1" w:rsidRDefault="0025178A">
      <w:pPr>
        <w:pStyle w:val="TOC2"/>
        <w:tabs>
          <w:tab w:val="right" w:leader="dot" w:pos="9747"/>
        </w:tabs>
        <w:rPr>
          <w:rFonts w:eastAsiaTheme="minorEastAsia"/>
          <w:noProof/>
          <w:lang w:eastAsia="en-AU"/>
        </w:rPr>
      </w:pPr>
      <w:hyperlink w:anchor="_Toc513970816" w:history="1">
        <w:r w:rsidR="009547F1" w:rsidRPr="008A7372">
          <w:rPr>
            <w:rStyle w:val="Hyperlink"/>
            <w:noProof/>
          </w:rPr>
          <w:t>Attachment A – Assessor Access Form</w:t>
        </w:r>
        <w:r w:rsidR="009547F1">
          <w:rPr>
            <w:noProof/>
            <w:webHidden/>
          </w:rPr>
          <w:tab/>
        </w:r>
        <w:r w:rsidR="009547F1">
          <w:rPr>
            <w:noProof/>
            <w:webHidden/>
          </w:rPr>
          <w:fldChar w:fldCharType="begin"/>
        </w:r>
        <w:r w:rsidR="009547F1">
          <w:rPr>
            <w:noProof/>
            <w:webHidden/>
          </w:rPr>
          <w:instrText xml:space="preserve"> PAGEREF _Toc513970816 \h </w:instrText>
        </w:r>
        <w:r w:rsidR="009547F1">
          <w:rPr>
            <w:noProof/>
            <w:webHidden/>
          </w:rPr>
        </w:r>
        <w:r w:rsidR="009547F1">
          <w:rPr>
            <w:noProof/>
            <w:webHidden/>
          </w:rPr>
          <w:fldChar w:fldCharType="separate"/>
        </w:r>
        <w:r w:rsidR="009547F1">
          <w:rPr>
            <w:noProof/>
            <w:webHidden/>
          </w:rPr>
          <w:t>7</w:t>
        </w:r>
        <w:r w:rsidR="009547F1">
          <w:rPr>
            <w:noProof/>
            <w:webHidden/>
          </w:rPr>
          <w:fldChar w:fldCharType="end"/>
        </w:r>
      </w:hyperlink>
    </w:p>
    <w:p w14:paraId="4FA45625" w14:textId="59D3D9F8" w:rsidR="002714E5" w:rsidRDefault="002714E5" w:rsidP="002714E5">
      <w:pPr>
        <w:pStyle w:val="Heading2"/>
      </w:pPr>
      <w:r>
        <w:fldChar w:fldCharType="end"/>
      </w:r>
      <w:r>
        <w:br w:type="page"/>
      </w:r>
    </w:p>
    <w:p w14:paraId="6E89A05B" w14:textId="77777777" w:rsidR="003B4FF7" w:rsidRPr="006618B5" w:rsidRDefault="003B4FF7" w:rsidP="006618B5">
      <w:pPr>
        <w:pStyle w:val="Heading2"/>
      </w:pPr>
      <w:bookmarkStart w:id="2" w:name="_Toc513970809"/>
      <w:r w:rsidRPr="006618B5">
        <w:lastRenderedPageBreak/>
        <w:t>Background</w:t>
      </w:r>
      <w:bookmarkEnd w:id="2"/>
      <w:r w:rsidRPr="006618B5">
        <w:t xml:space="preserve"> </w:t>
      </w:r>
    </w:p>
    <w:p w14:paraId="30D9B7E0" w14:textId="77777777" w:rsidR="00CD0F90" w:rsidRDefault="00CD0F90" w:rsidP="002714E5">
      <w:pPr>
        <w:pStyle w:val="Body"/>
      </w:pPr>
      <w:r w:rsidRPr="00CD0F90">
        <w:t xml:space="preserve">LOGIQC </w:t>
      </w:r>
      <w:r>
        <w:t xml:space="preserve">QMS </w:t>
      </w:r>
      <w:r w:rsidRPr="00CD0F90">
        <w:t xml:space="preserve">is </w:t>
      </w:r>
      <w:r>
        <w:t xml:space="preserve">a </w:t>
      </w:r>
      <w:r w:rsidRPr="00CD0F90">
        <w:t xml:space="preserve">cloud-based </w:t>
      </w:r>
      <w:r>
        <w:t xml:space="preserve">management system </w:t>
      </w:r>
      <w:r w:rsidRPr="00CD0F90">
        <w:t xml:space="preserve">specifically designed to support practices to </w:t>
      </w:r>
      <w:r>
        <w:t xml:space="preserve">manage quality, safety and risk and to </w:t>
      </w:r>
      <w:r w:rsidRPr="00CD0F90">
        <w:t>meet accreditation requirements.</w:t>
      </w:r>
      <w:r w:rsidR="007251A6">
        <w:t xml:space="preserve"> </w:t>
      </w:r>
      <w:r>
        <w:t xml:space="preserve"> </w:t>
      </w:r>
      <w:r w:rsidR="007251A6" w:rsidRPr="00CD0F90">
        <w:t xml:space="preserve">LOGIQC </w:t>
      </w:r>
      <w:r w:rsidR="007251A6">
        <w:t xml:space="preserve">QMS comprises a range of registers where documents are stored, tasks are </w:t>
      </w:r>
      <w:proofErr w:type="gramStart"/>
      <w:r w:rsidR="007251A6">
        <w:t>scheduled</w:t>
      </w:r>
      <w:proofErr w:type="gramEnd"/>
      <w:r w:rsidR="007251A6">
        <w:t xml:space="preserve"> and issues are reported.</w:t>
      </w:r>
    </w:p>
    <w:p w14:paraId="2B6FC6BF" w14:textId="77777777" w:rsidR="007251A6" w:rsidRDefault="007251A6" w:rsidP="002714E5">
      <w:pPr>
        <w:pStyle w:val="Body"/>
      </w:pPr>
      <w:r>
        <w:t>For p</w:t>
      </w:r>
      <w:r w:rsidRPr="007251A6">
        <w:t>ractice</w:t>
      </w:r>
      <w:r>
        <w:t>s</w:t>
      </w:r>
      <w:r w:rsidRPr="007251A6">
        <w:t xml:space="preserve"> </w:t>
      </w:r>
      <w:r>
        <w:t xml:space="preserve">using </w:t>
      </w:r>
      <w:r w:rsidRPr="007251A6">
        <w:t xml:space="preserve">LOGIQC QMS, much of the evidence required to support </w:t>
      </w:r>
      <w:r>
        <w:t xml:space="preserve">their </w:t>
      </w:r>
      <w:r w:rsidRPr="007251A6">
        <w:t xml:space="preserve">CORNERSTONE® accreditation and Foundation certification will already be in </w:t>
      </w:r>
      <w:r>
        <w:t xml:space="preserve">their </w:t>
      </w:r>
      <w:r w:rsidRPr="007251A6">
        <w:t>LOGIQC QMS.</w:t>
      </w:r>
    </w:p>
    <w:p w14:paraId="7A2853F7" w14:textId="77777777" w:rsidR="002A6EF1" w:rsidRDefault="002A6EF1" w:rsidP="002714E5">
      <w:pPr>
        <w:pStyle w:val="Body"/>
      </w:pPr>
      <w:r w:rsidRPr="00704A7D">
        <w:t xml:space="preserve">The </w:t>
      </w:r>
      <w:r>
        <w:t xml:space="preserve">RNZCGP is aware that </w:t>
      </w:r>
      <w:r w:rsidRPr="00704A7D">
        <w:t xml:space="preserve">users of LOGIQC QMS </w:t>
      </w:r>
      <w:r w:rsidR="003B4FF7">
        <w:t>may</w:t>
      </w:r>
      <w:r>
        <w:t xml:space="preserve"> </w:t>
      </w:r>
      <w:r w:rsidRPr="00704A7D">
        <w:t>simply provide the unique LOGIQC ID</w:t>
      </w:r>
      <w:r>
        <w:t>#</w:t>
      </w:r>
      <w:r w:rsidRPr="00704A7D">
        <w:t xml:space="preserve"> </w:t>
      </w:r>
      <w:r>
        <w:t xml:space="preserve">for evidence </w:t>
      </w:r>
      <w:r w:rsidRPr="00704A7D">
        <w:t xml:space="preserve">when completing </w:t>
      </w:r>
      <w:r>
        <w:t xml:space="preserve">the </w:t>
      </w:r>
      <w:r w:rsidRPr="00704A7D">
        <w:t xml:space="preserve">QA2QI </w:t>
      </w:r>
      <w:r>
        <w:t xml:space="preserve">online tool </w:t>
      </w:r>
      <w:r w:rsidRPr="00704A7D">
        <w:t xml:space="preserve">and </w:t>
      </w:r>
      <w:r>
        <w:t xml:space="preserve">that the practice will </w:t>
      </w:r>
      <w:r w:rsidRPr="00704A7D">
        <w:t>provide a LOGIQC login to the Assessor</w:t>
      </w:r>
      <w:r>
        <w:t xml:space="preserve">s, either College (CORNERSTONE) or PHO assigned (Foundation) </w:t>
      </w:r>
      <w:r w:rsidRPr="00704A7D">
        <w:t xml:space="preserve">so the evidence can be examined. </w:t>
      </w:r>
      <w:r>
        <w:t>This means that e</w:t>
      </w:r>
      <w:r w:rsidRPr="00704A7D">
        <w:t xml:space="preserve">vidence already uploaded to </w:t>
      </w:r>
      <w:r w:rsidR="003B4FF7">
        <w:t xml:space="preserve">the practice’s </w:t>
      </w:r>
      <w:r w:rsidRPr="00704A7D">
        <w:t xml:space="preserve">LOGIQC </w:t>
      </w:r>
      <w:r>
        <w:t xml:space="preserve">QMS </w:t>
      </w:r>
      <w:r w:rsidRPr="00704A7D">
        <w:t>does not have to be re-uploaded to the QA2QI</w:t>
      </w:r>
      <w:r>
        <w:t>.</w:t>
      </w:r>
      <w:r w:rsidRPr="00704A7D">
        <w:t xml:space="preserve"> </w:t>
      </w:r>
    </w:p>
    <w:p w14:paraId="782A2EFA" w14:textId="77777777" w:rsidR="002A6EF1" w:rsidRPr="00677830" w:rsidRDefault="002A6EF1" w:rsidP="002714E5">
      <w:pPr>
        <w:pStyle w:val="Body"/>
        <w:rPr>
          <w:i/>
          <w:szCs w:val="18"/>
        </w:rPr>
      </w:pPr>
      <w:r w:rsidRPr="00677830">
        <w:rPr>
          <w:i/>
          <w:szCs w:val="18"/>
        </w:rPr>
        <w:t xml:space="preserve">Note: </w:t>
      </w:r>
      <w:r w:rsidR="003B4FF7" w:rsidRPr="00677830">
        <w:rPr>
          <w:i/>
          <w:szCs w:val="18"/>
        </w:rPr>
        <w:t xml:space="preserve">Practices </w:t>
      </w:r>
      <w:r w:rsidR="00470984" w:rsidRPr="00677830">
        <w:rPr>
          <w:i/>
          <w:szCs w:val="18"/>
        </w:rPr>
        <w:t xml:space="preserve">are </w:t>
      </w:r>
      <w:r w:rsidR="003B4FF7" w:rsidRPr="00677830">
        <w:rPr>
          <w:i/>
          <w:szCs w:val="18"/>
        </w:rPr>
        <w:t xml:space="preserve">advised that </w:t>
      </w:r>
      <w:r w:rsidRPr="00677830">
        <w:rPr>
          <w:i/>
          <w:szCs w:val="18"/>
        </w:rPr>
        <w:t xml:space="preserve">LOGIQC </w:t>
      </w:r>
      <w:r w:rsidR="003B4FF7" w:rsidRPr="00677830">
        <w:rPr>
          <w:i/>
          <w:szCs w:val="18"/>
        </w:rPr>
        <w:t xml:space="preserve">QMS </w:t>
      </w:r>
      <w:r w:rsidRPr="00677830">
        <w:rPr>
          <w:i/>
          <w:szCs w:val="18"/>
        </w:rPr>
        <w:t xml:space="preserve">does not replace the College’s QA2QI self-assessment tool, it simply becomes a source of </w:t>
      </w:r>
      <w:r w:rsidR="003B4FF7" w:rsidRPr="00677830">
        <w:rPr>
          <w:i/>
          <w:szCs w:val="18"/>
        </w:rPr>
        <w:t xml:space="preserve">where </w:t>
      </w:r>
      <w:r w:rsidRPr="00677830">
        <w:rPr>
          <w:i/>
          <w:szCs w:val="18"/>
        </w:rPr>
        <w:t xml:space="preserve">evidence </w:t>
      </w:r>
      <w:r w:rsidR="003B4FF7" w:rsidRPr="00677830">
        <w:rPr>
          <w:i/>
          <w:szCs w:val="18"/>
        </w:rPr>
        <w:t>of compliance is located</w:t>
      </w:r>
      <w:r w:rsidRPr="00677830">
        <w:rPr>
          <w:i/>
          <w:szCs w:val="18"/>
        </w:rPr>
        <w:t xml:space="preserve">. </w:t>
      </w:r>
    </w:p>
    <w:p w14:paraId="05591D97" w14:textId="77777777" w:rsidR="004C5884" w:rsidRDefault="004C5884" w:rsidP="006618B5">
      <w:pPr>
        <w:pStyle w:val="Heading2"/>
      </w:pPr>
      <w:bookmarkStart w:id="3" w:name="_Toc513970810"/>
      <w:r>
        <w:t>Process</w:t>
      </w:r>
      <w:bookmarkEnd w:id="3"/>
      <w:r>
        <w:t xml:space="preserve"> </w:t>
      </w:r>
    </w:p>
    <w:p w14:paraId="46D0EB91" w14:textId="77777777" w:rsidR="002A6EF1" w:rsidRPr="004C5884" w:rsidRDefault="004C5884" w:rsidP="002714E5">
      <w:pPr>
        <w:pStyle w:val="Body"/>
      </w:pPr>
      <w:r>
        <w:t xml:space="preserve">The following diagram outlines the </w:t>
      </w:r>
      <w:r w:rsidR="003B4FF7" w:rsidRPr="004C5884">
        <w:t>steps for using LOGIQC QMS with the QA2QI online tool</w:t>
      </w:r>
      <w:r>
        <w:t>:</w:t>
      </w:r>
    </w:p>
    <w:p w14:paraId="57E9FEFA" w14:textId="77777777" w:rsidR="004C5884" w:rsidRDefault="00470984" w:rsidP="002A6EF1">
      <w:pPr>
        <w:tabs>
          <w:tab w:val="left" w:pos="4035"/>
        </w:tabs>
        <w:rPr>
          <w:b/>
          <w:sz w:val="20"/>
          <w:szCs w:val="18"/>
        </w:rPr>
      </w:pPr>
      <w:r>
        <w:rPr>
          <w:noProof/>
        </w:rPr>
        <w:drawing>
          <wp:inline distT="0" distB="0" distL="0" distR="0" wp14:anchorId="2E1C112B" wp14:editId="05CB7C49">
            <wp:extent cx="6195695" cy="2047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7ACD7" w14:textId="77777777" w:rsidR="004C5884" w:rsidRDefault="004C5884" w:rsidP="006618B5">
      <w:pPr>
        <w:pStyle w:val="Heading2"/>
      </w:pPr>
      <w:bookmarkStart w:id="4" w:name="_Toc513970811"/>
      <w:r>
        <w:t>Roles as responsibilities</w:t>
      </w:r>
      <w:bookmarkEnd w:id="4"/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22"/>
        <w:gridCol w:w="7625"/>
      </w:tblGrid>
      <w:tr w:rsidR="004C5884" w14:paraId="0FEEF0EC" w14:textId="77777777" w:rsidTr="007251A6">
        <w:tc>
          <w:tcPr>
            <w:tcW w:w="2122" w:type="dxa"/>
          </w:tcPr>
          <w:p w14:paraId="40DE7CC9" w14:textId="77777777" w:rsidR="004C5884" w:rsidRPr="006618B5" w:rsidRDefault="004C5884" w:rsidP="00470984">
            <w:pPr>
              <w:tabs>
                <w:tab w:val="left" w:pos="4035"/>
              </w:tabs>
              <w:spacing w:before="40" w:after="40"/>
              <w:rPr>
                <w:sz w:val="20"/>
                <w:szCs w:val="18"/>
              </w:rPr>
            </w:pPr>
            <w:r w:rsidRPr="006618B5">
              <w:rPr>
                <w:sz w:val="20"/>
                <w:szCs w:val="18"/>
              </w:rPr>
              <w:t>Practices</w:t>
            </w:r>
          </w:p>
        </w:tc>
        <w:tc>
          <w:tcPr>
            <w:tcW w:w="7625" w:type="dxa"/>
          </w:tcPr>
          <w:p w14:paraId="32660C34" w14:textId="77777777" w:rsidR="004C5884" w:rsidRPr="004C5884" w:rsidRDefault="004C5884" w:rsidP="00470984">
            <w:pPr>
              <w:tabs>
                <w:tab w:val="left" w:pos="4035"/>
              </w:tabs>
              <w:spacing w:before="40" w:after="4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The practice must </w:t>
            </w:r>
            <w:r w:rsidR="00A6194A">
              <w:rPr>
                <w:sz w:val="20"/>
                <w:szCs w:val="18"/>
              </w:rPr>
              <w:t>enter</w:t>
            </w:r>
            <w:r>
              <w:rPr>
                <w:sz w:val="20"/>
                <w:szCs w:val="18"/>
              </w:rPr>
              <w:t xml:space="preserve"> the </w:t>
            </w:r>
            <w:r w:rsidR="00A6194A">
              <w:rPr>
                <w:sz w:val="20"/>
                <w:szCs w:val="18"/>
              </w:rPr>
              <w:t xml:space="preserve">relevant </w:t>
            </w:r>
            <w:r>
              <w:rPr>
                <w:sz w:val="20"/>
                <w:szCs w:val="18"/>
              </w:rPr>
              <w:t xml:space="preserve">LOGIQC ID number in the </w:t>
            </w:r>
            <w:r w:rsidR="00A6194A">
              <w:rPr>
                <w:sz w:val="20"/>
                <w:szCs w:val="18"/>
              </w:rPr>
              <w:t xml:space="preserve">evidence field of the </w:t>
            </w:r>
            <w:r>
              <w:rPr>
                <w:sz w:val="20"/>
                <w:szCs w:val="18"/>
              </w:rPr>
              <w:t>QA2QI tool for each item of evidence presented.</w:t>
            </w:r>
          </w:p>
        </w:tc>
      </w:tr>
      <w:tr w:rsidR="004C5884" w14:paraId="04A53C79" w14:textId="77777777" w:rsidTr="007251A6">
        <w:tc>
          <w:tcPr>
            <w:tcW w:w="2122" w:type="dxa"/>
          </w:tcPr>
          <w:p w14:paraId="5C9D52E4" w14:textId="77777777" w:rsidR="004C5884" w:rsidRPr="006618B5" w:rsidRDefault="004C5884" w:rsidP="00470984">
            <w:pPr>
              <w:tabs>
                <w:tab w:val="left" w:pos="4035"/>
              </w:tabs>
              <w:spacing w:before="40" w:after="40"/>
              <w:rPr>
                <w:sz w:val="20"/>
                <w:szCs w:val="18"/>
              </w:rPr>
            </w:pPr>
            <w:r w:rsidRPr="006618B5">
              <w:rPr>
                <w:sz w:val="20"/>
                <w:szCs w:val="18"/>
              </w:rPr>
              <w:t>Assessor</w:t>
            </w:r>
          </w:p>
        </w:tc>
        <w:tc>
          <w:tcPr>
            <w:tcW w:w="7625" w:type="dxa"/>
          </w:tcPr>
          <w:p w14:paraId="1A81E7C5" w14:textId="77777777" w:rsidR="004C5884" w:rsidRPr="004C5884" w:rsidRDefault="00A6194A" w:rsidP="00470984">
            <w:pPr>
              <w:tabs>
                <w:tab w:val="left" w:pos="4035"/>
              </w:tabs>
              <w:spacing w:before="40" w:after="4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Review evidence provided by the practice by accessing their LOGIQC QMS where appropriate references have been provided. </w:t>
            </w:r>
          </w:p>
        </w:tc>
      </w:tr>
      <w:tr w:rsidR="004C5884" w14:paraId="5C596B1F" w14:textId="77777777" w:rsidTr="007251A6">
        <w:tc>
          <w:tcPr>
            <w:tcW w:w="2122" w:type="dxa"/>
          </w:tcPr>
          <w:p w14:paraId="520DA182" w14:textId="77777777" w:rsidR="004C5884" w:rsidRPr="006618B5" w:rsidRDefault="00A6194A" w:rsidP="00470984">
            <w:pPr>
              <w:tabs>
                <w:tab w:val="left" w:pos="4035"/>
              </w:tabs>
              <w:spacing w:before="40" w:after="40"/>
              <w:rPr>
                <w:sz w:val="20"/>
                <w:szCs w:val="18"/>
              </w:rPr>
            </w:pPr>
            <w:r w:rsidRPr="006618B5">
              <w:rPr>
                <w:sz w:val="20"/>
                <w:szCs w:val="18"/>
              </w:rPr>
              <w:t>LOGIQC staff</w:t>
            </w:r>
          </w:p>
        </w:tc>
        <w:tc>
          <w:tcPr>
            <w:tcW w:w="7625" w:type="dxa"/>
          </w:tcPr>
          <w:p w14:paraId="6FF9D0DD" w14:textId="77777777" w:rsidR="00A6194A" w:rsidRDefault="004C5884" w:rsidP="00470984">
            <w:pPr>
              <w:tabs>
                <w:tab w:val="left" w:pos="4035"/>
              </w:tabs>
              <w:spacing w:before="40" w:after="4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</w:t>
            </w:r>
            <w:r w:rsidRPr="004C5884">
              <w:rPr>
                <w:sz w:val="20"/>
                <w:szCs w:val="18"/>
              </w:rPr>
              <w:t xml:space="preserve">rovide a free user account </w:t>
            </w:r>
            <w:r w:rsidR="00A6194A">
              <w:rPr>
                <w:sz w:val="20"/>
                <w:szCs w:val="18"/>
              </w:rPr>
              <w:t xml:space="preserve">for assessors to </w:t>
            </w:r>
            <w:r w:rsidRPr="004C5884">
              <w:rPr>
                <w:sz w:val="20"/>
                <w:szCs w:val="18"/>
              </w:rPr>
              <w:t xml:space="preserve">use to </w:t>
            </w:r>
            <w:r w:rsidR="00A6194A">
              <w:rPr>
                <w:sz w:val="20"/>
                <w:szCs w:val="18"/>
              </w:rPr>
              <w:t xml:space="preserve">access the practice’s </w:t>
            </w:r>
            <w:r w:rsidRPr="004C5884">
              <w:rPr>
                <w:sz w:val="20"/>
                <w:szCs w:val="18"/>
              </w:rPr>
              <w:t xml:space="preserve">LOGIQC QMS. </w:t>
            </w:r>
          </w:p>
          <w:p w14:paraId="5DCEA9EA" w14:textId="77777777" w:rsidR="004C5884" w:rsidRPr="004C5884" w:rsidRDefault="00A6194A" w:rsidP="00470984">
            <w:pPr>
              <w:tabs>
                <w:tab w:val="left" w:pos="4035"/>
              </w:tabs>
              <w:spacing w:before="40" w:after="4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Provide online and telephone support to practices and assessors in relation to accessing evidence in the LOGIQC QMS. </w:t>
            </w:r>
          </w:p>
        </w:tc>
      </w:tr>
    </w:tbl>
    <w:p w14:paraId="6D6F5A6D" w14:textId="77777777" w:rsidR="002A6EF1" w:rsidRPr="00704A7D" w:rsidRDefault="002A6EF1" w:rsidP="002A6EF1">
      <w:pPr>
        <w:tabs>
          <w:tab w:val="left" w:pos="4035"/>
        </w:tabs>
        <w:rPr>
          <w:b/>
          <w:sz w:val="20"/>
          <w:szCs w:val="18"/>
        </w:rPr>
      </w:pPr>
      <w:r>
        <w:rPr>
          <w:b/>
          <w:sz w:val="20"/>
          <w:szCs w:val="18"/>
        </w:rPr>
        <w:tab/>
      </w:r>
    </w:p>
    <w:p w14:paraId="63ED0374" w14:textId="77777777" w:rsidR="002714E5" w:rsidRDefault="002714E5">
      <w:pPr>
        <w:spacing w:after="160" w:line="259" w:lineRule="auto"/>
        <w:rPr>
          <w:b/>
          <w:sz w:val="21"/>
        </w:rPr>
      </w:pPr>
      <w:r>
        <w:br w:type="page"/>
      </w:r>
    </w:p>
    <w:p w14:paraId="16AA5CB9" w14:textId="77777777" w:rsidR="002A6EF1" w:rsidRPr="00561C80" w:rsidRDefault="002A6EF1" w:rsidP="006618B5">
      <w:pPr>
        <w:pStyle w:val="Heading2"/>
      </w:pPr>
      <w:bookmarkStart w:id="5" w:name="_Toc513970812"/>
      <w:r w:rsidRPr="00561C80">
        <w:lastRenderedPageBreak/>
        <w:t>What practices need to do</w:t>
      </w:r>
      <w:bookmarkEnd w:id="5"/>
    </w:p>
    <w:p w14:paraId="20B3E80C" w14:textId="77777777" w:rsidR="001A0C45" w:rsidRDefault="001A0C45" w:rsidP="00A6194A">
      <w:pPr>
        <w:rPr>
          <w:sz w:val="20"/>
          <w:szCs w:val="18"/>
        </w:rPr>
      </w:pPr>
      <w:r>
        <w:rPr>
          <w:sz w:val="20"/>
          <w:szCs w:val="18"/>
        </w:rPr>
        <w:t xml:space="preserve">If practices want to refer the assessor to evidence held in the LOGIQC QMS, they will </w:t>
      </w:r>
      <w:r w:rsidR="00CB7195">
        <w:rPr>
          <w:sz w:val="20"/>
          <w:szCs w:val="18"/>
        </w:rPr>
        <w:t xml:space="preserve">reference the evidence </w:t>
      </w:r>
      <w:r>
        <w:rPr>
          <w:sz w:val="20"/>
          <w:szCs w:val="18"/>
        </w:rPr>
        <w:t xml:space="preserve">in the Evidence section of QA2QI. </w:t>
      </w:r>
    </w:p>
    <w:p w14:paraId="30D9C8BC" w14:textId="77777777" w:rsidR="00CB7195" w:rsidRDefault="00CB7195" w:rsidP="00CB7195">
      <w:pPr>
        <w:spacing w:after="240"/>
        <w:rPr>
          <w:sz w:val="20"/>
          <w:szCs w:val="18"/>
        </w:rPr>
      </w:pPr>
      <w:r w:rsidRPr="00561C80">
        <w:rPr>
          <w:sz w:val="20"/>
          <w:szCs w:val="18"/>
        </w:rPr>
        <w:t xml:space="preserve">The example below illustrates how the practice might respond to Indicator 7.1 </w:t>
      </w:r>
      <w:r>
        <w:rPr>
          <w:sz w:val="20"/>
          <w:szCs w:val="18"/>
        </w:rPr>
        <w:t xml:space="preserve">in the QA2QI online tool </w:t>
      </w:r>
      <w:r w:rsidRPr="00561C80">
        <w:rPr>
          <w:sz w:val="20"/>
          <w:szCs w:val="18"/>
        </w:rPr>
        <w:t>by describing what’s in place to comply and listing the relevant LOGIQC ID#.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1"/>
        <w:gridCol w:w="1842"/>
        <w:gridCol w:w="2977"/>
        <w:gridCol w:w="2268"/>
        <w:gridCol w:w="1560"/>
      </w:tblGrid>
      <w:tr w:rsidR="00CB7195" w:rsidRPr="00940662" w14:paraId="6B526895" w14:textId="77777777" w:rsidTr="0080396D">
        <w:trPr>
          <w:trHeight w:val="340"/>
        </w:trPr>
        <w:tc>
          <w:tcPr>
            <w:tcW w:w="9498" w:type="dxa"/>
            <w:gridSpan w:val="5"/>
            <w:shd w:val="clear" w:color="auto" w:fill="D9E2F3" w:themeFill="accent5" w:themeFillTint="33"/>
          </w:tcPr>
          <w:p w14:paraId="2DF6ACDD" w14:textId="77777777" w:rsidR="00CB7195" w:rsidRPr="00940662" w:rsidRDefault="00CB7195" w:rsidP="0080396D">
            <w:pPr>
              <w:spacing w:after="0"/>
              <w:rPr>
                <w:sz w:val="18"/>
                <w:szCs w:val="18"/>
              </w:rPr>
            </w:pPr>
            <w:r w:rsidRPr="00940662">
              <w:rPr>
                <w:sz w:val="18"/>
                <w:szCs w:val="18"/>
              </w:rPr>
              <w:t>Indicator 7        24-hour health care is accessible to the practice population</w:t>
            </w:r>
          </w:p>
        </w:tc>
      </w:tr>
      <w:tr w:rsidR="00CB7195" w:rsidRPr="00940662" w14:paraId="6F5EC795" w14:textId="77777777" w:rsidTr="0080396D">
        <w:trPr>
          <w:trHeight w:val="28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3831536" w14:textId="77777777" w:rsidR="00CB7195" w:rsidRPr="00940662" w:rsidRDefault="00CB7195" w:rsidP="0080396D">
            <w:pPr>
              <w:spacing w:after="0"/>
              <w:rPr>
                <w:color w:val="C45911" w:themeColor="accent2" w:themeShade="BF"/>
                <w:sz w:val="18"/>
                <w:szCs w:val="18"/>
              </w:rPr>
            </w:pPr>
            <w:r w:rsidRPr="00940662">
              <w:rPr>
                <w:color w:val="C45911" w:themeColor="accent2" w:themeShade="BF"/>
                <w:sz w:val="18"/>
                <w:szCs w:val="18"/>
              </w:rPr>
              <w:t>Number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6D1A6D6" w14:textId="77777777" w:rsidR="00CB7195" w:rsidRPr="00940662" w:rsidRDefault="00CB7195" w:rsidP="0080396D">
            <w:pPr>
              <w:spacing w:after="0"/>
              <w:rPr>
                <w:color w:val="C45911" w:themeColor="accent2" w:themeShade="BF"/>
                <w:sz w:val="18"/>
                <w:szCs w:val="18"/>
              </w:rPr>
            </w:pPr>
            <w:r w:rsidRPr="00940662">
              <w:rPr>
                <w:color w:val="C45911" w:themeColor="accent2" w:themeShade="BF"/>
                <w:sz w:val="18"/>
                <w:szCs w:val="18"/>
              </w:rPr>
              <w:t>Criterion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3FA4101" w14:textId="77777777" w:rsidR="00CB7195" w:rsidRPr="00940662" w:rsidRDefault="00CB7195" w:rsidP="0080396D">
            <w:pPr>
              <w:spacing w:after="0"/>
              <w:rPr>
                <w:color w:val="C45911" w:themeColor="accent2" w:themeShade="BF"/>
                <w:sz w:val="18"/>
                <w:szCs w:val="18"/>
              </w:rPr>
            </w:pPr>
            <w:r>
              <w:rPr>
                <w:color w:val="C45911" w:themeColor="accent2" w:themeShade="BF"/>
                <w:sz w:val="18"/>
                <w:szCs w:val="18"/>
              </w:rPr>
              <w:t>Evidence may include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9C6E00" w14:textId="77777777" w:rsidR="00CB7195" w:rsidRPr="00940662" w:rsidRDefault="00CB7195" w:rsidP="0080396D">
            <w:pPr>
              <w:spacing w:after="0"/>
              <w:rPr>
                <w:color w:val="C45911" w:themeColor="accent2" w:themeShade="BF"/>
                <w:sz w:val="18"/>
                <w:szCs w:val="18"/>
              </w:rPr>
            </w:pPr>
            <w:r>
              <w:rPr>
                <w:color w:val="C45911" w:themeColor="accent2" w:themeShade="BF"/>
                <w:sz w:val="18"/>
                <w:szCs w:val="18"/>
              </w:rPr>
              <w:t>Self-Assessment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634B70A" w14:textId="77777777" w:rsidR="00CB7195" w:rsidRPr="00940662" w:rsidRDefault="00CB7195" w:rsidP="0080396D">
            <w:pPr>
              <w:spacing w:after="0"/>
              <w:rPr>
                <w:color w:val="C45911" w:themeColor="accent2" w:themeShade="BF"/>
                <w:sz w:val="18"/>
                <w:szCs w:val="18"/>
              </w:rPr>
            </w:pPr>
            <w:r>
              <w:rPr>
                <w:color w:val="C45911" w:themeColor="accent2" w:themeShade="BF"/>
                <w:sz w:val="18"/>
                <w:szCs w:val="18"/>
              </w:rPr>
              <w:t>Evidence</w:t>
            </w:r>
          </w:p>
        </w:tc>
      </w:tr>
      <w:tr w:rsidR="00CB7195" w:rsidRPr="00940662" w14:paraId="63759AC8" w14:textId="77777777" w:rsidTr="0080396D">
        <w:tc>
          <w:tcPr>
            <w:tcW w:w="851" w:type="dxa"/>
          </w:tcPr>
          <w:p w14:paraId="221BA4E1" w14:textId="77777777" w:rsidR="00CB7195" w:rsidRPr="00940662" w:rsidRDefault="00CB7195" w:rsidP="0080396D">
            <w:pPr>
              <w:rPr>
                <w:sz w:val="16"/>
                <w:szCs w:val="18"/>
              </w:rPr>
            </w:pPr>
            <w:r w:rsidRPr="00940662">
              <w:rPr>
                <w:sz w:val="16"/>
                <w:szCs w:val="18"/>
              </w:rPr>
              <w:t>7.1</w:t>
            </w:r>
          </w:p>
        </w:tc>
        <w:tc>
          <w:tcPr>
            <w:tcW w:w="1842" w:type="dxa"/>
          </w:tcPr>
          <w:p w14:paraId="1991080F" w14:textId="77777777" w:rsidR="00CB7195" w:rsidRPr="00940662" w:rsidRDefault="00CB7195" w:rsidP="0080396D">
            <w:pPr>
              <w:rPr>
                <w:sz w:val="16"/>
                <w:szCs w:val="18"/>
              </w:rPr>
            </w:pPr>
            <w:r w:rsidRPr="00940662">
              <w:rPr>
                <w:sz w:val="16"/>
                <w:szCs w:val="18"/>
              </w:rPr>
              <w:t>The practice makes provision for 24-hour health care.</w:t>
            </w:r>
          </w:p>
        </w:tc>
        <w:tc>
          <w:tcPr>
            <w:tcW w:w="2977" w:type="dxa"/>
          </w:tcPr>
          <w:p w14:paraId="6BEEE364" w14:textId="5E5BB6B6" w:rsidR="00CB7195" w:rsidRPr="00940662" w:rsidRDefault="00CB7195" w:rsidP="0080396D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0" w:hanging="188"/>
              <w:contextualSpacing/>
              <w:rPr>
                <w:sz w:val="16"/>
                <w:szCs w:val="18"/>
              </w:rPr>
            </w:pPr>
            <w:r w:rsidRPr="00940662">
              <w:rPr>
                <w:sz w:val="16"/>
                <w:szCs w:val="18"/>
              </w:rPr>
              <w:t xml:space="preserve">Poster/signage </w:t>
            </w:r>
          </w:p>
          <w:p w14:paraId="46965928" w14:textId="7B450BC5" w:rsidR="00CB7195" w:rsidRPr="00940662" w:rsidRDefault="00CB7195" w:rsidP="0080396D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0" w:hanging="188"/>
              <w:contextualSpacing/>
              <w:rPr>
                <w:sz w:val="16"/>
                <w:szCs w:val="18"/>
              </w:rPr>
            </w:pPr>
            <w:r w:rsidRPr="00940662">
              <w:rPr>
                <w:sz w:val="16"/>
                <w:szCs w:val="18"/>
              </w:rPr>
              <w:t>Patient information website brochure, pamphlet</w:t>
            </w:r>
          </w:p>
          <w:p w14:paraId="0EE9F104" w14:textId="0E6AA809" w:rsidR="00CB7195" w:rsidRPr="001930CA" w:rsidRDefault="00CB7195" w:rsidP="001930CA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0" w:hanging="188"/>
              <w:contextualSpacing/>
              <w:rPr>
                <w:sz w:val="16"/>
                <w:szCs w:val="18"/>
              </w:rPr>
            </w:pPr>
            <w:r w:rsidRPr="00940662">
              <w:rPr>
                <w:sz w:val="16"/>
                <w:szCs w:val="18"/>
              </w:rPr>
              <w:t>Contract with after-hours provided</w:t>
            </w:r>
          </w:p>
        </w:tc>
        <w:tc>
          <w:tcPr>
            <w:tcW w:w="2268" w:type="dxa"/>
            <w:shd w:val="clear" w:color="auto" w:fill="FFFFCC"/>
          </w:tcPr>
          <w:p w14:paraId="3FCFDFC6" w14:textId="77777777" w:rsidR="00CB7195" w:rsidRPr="00940662" w:rsidRDefault="00CB7195" w:rsidP="0080396D">
            <w:pPr>
              <w:rPr>
                <w:sz w:val="16"/>
                <w:szCs w:val="18"/>
              </w:rPr>
            </w:pPr>
            <w:r w:rsidRPr="00940662">
              <w:rPr>
                <w:sz w:val="16"/>
                <w:szCs w:val="18"/>
              </w:rPr>
              <w:t>We have a pamphlet for patients and a</w:t>
            </w:r>
            <w:r>
              <w:rPr>
                <w:sz w:val="16"/>
                <w:szCs w:val="18"/>
              </w:rPr>
              <w:t xml:space="preserve"> </w:t>
            </w:r>
            <w:r w:rsidRPr="00940662">
              <w:rPr>
                <w:sz w:val="16"/>
                <w:szCs w:val="18"/>
              </w:rPr>
              <w:t>contract with an after-hours provider.</w:t>
            </w:r>
          </w:p>
        </w:tc>
        <w:tc>
          <w:tcPr>
            <w:tcW w:w="1560" w:type="dxa"/>
          </w:tcPr>
          <w:p w14:paraId="24C8870C" w14:textId="77777777" w:rsidR="00CB7195" w:rsidRDefault="00CB7195" w:rsidP="008039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LOGIQC Doc 004</w:t>
            </w:r>
          </w:p>
          <w:p w14:paraId="3FE8DD11" w14:textId="0783269B" w:rsidR="00CB7195" w:rsidRPr="00940662" w:rsidRDefault="00CB7195" w:rsidP="008039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LOGIQC Con 023</w:t>
            </w:r>
          </w:p>
        </w:tc>
      </w:tr>
    </w:tbl>
    <w:p w14:paraId="31BFE10B" w14:textId="77777777" w:rsidR="00CB7195" w:rsidRDefault="00CB7195" w:rsidP="00CB7195">
      <w:pPr>
        <w:rPr>
          <w:b/>
          <w:szCs w:val="18"/>
        </w:rPr>
      </w:pPr>
      <w:r>
        <w:rPr>
          <w:b/>
          <w:noProof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6BB1F1" wp14:editId="409657F2">
                <wp:simplePos x="0" y="0"/>
                <wp:positionH relativeFrom="margin">
                  <wp:posOffset>4395083</wp:posOffset>
                </wp:positionH>
                <wp:positionV relativeFrom="paragraph">
                  <wp:posOffset>144917</wp:posOffset>
                </wp:positionV>
                <wp:extent cx="1538136" cy="572494"/>
                <wp:effectExtent l="0" t="76200" r="24130" b="18415"/>
                <wp:wrapNone/>
                <wp:docPr id="100" name="Speech Bubble: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38136" cy="572494"/>
                        </a:xfrm>
                        <a:prstGeom prst="wedgeRectCallou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3D052" w14:textId="77777777" w:rsidR="0080396D" w:rsidRPr="00830BB8" w:rsidRDefault="0080396D" w:rsidP="00CB719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Practice enters ID# to reference evidence in their LOGIQC QMS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BB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00" o:spid="_x0000_s1026" type="#_x0000_t61" style="position:absolute;margin-left:346.05pt;margin-top:11.4pt;width:121.1pt;height:45.1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" adj="6300,24300" fillcolor="#dbdbdb [1302]" strokecolor="#a5a5a5 [2092]" strokeweight=".25pt">
                <v:textbox>
                  <w:txbxContent>
                    <w:p w14:paraId="54D3D052" w14:textId="77777777" w:rsidR="0080396D" w:rsidRPr="00830BB8" w:rsidRDefault="0080396D" w:rsidP="00CB719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Practice enters ID# to reference evidence in their LOGIQC QMS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93C8A" w14:textId="77777777" w:rsidR="00CB7195" w:rsidRDefault="00CB7195" w:rsidP="00CB7195">
      <w:pPr>
        <w:rPr>
          <w:b/>
          <w:szCs w:val="18"/>
        </w:rPr>
      </w:pPr>
    </w:p>
    <w:p w14:paraId="2E042FEF" w14:textId="77777777" w:rsidR="00CB7195" w:rsidRDefault="00CB7195" w:rsidP="00A6194A">
      <w:pPr>
        <w:rPr>
          <w:sz w:val="20"/>
          <w:szCs w:val="18"/>
        </w:rPr>
      </w:pPr>
    </w:p>
    <w:p w14:paraId="2CC0E336" w14:textId="2C4CEA90" w:rsidR="007604C3" w:rsidRDefault="00A6194A" w:rsidP="00A6194A">
      <w:pPr>
        <w:rPr>
          <w:sz w:val="20"/>
          <w:szCs w:val="18"/>
        </w:rPr>
      </w:pPr>
      <w:r w:rsidRPr="00561C80">
        <w:rPr>
          <w:sz w:val="20"/>
          <w:szCs w:val="18"/>
        </w:rPr>
        <w:t>Each item in LOGIQC QMS (</w:t>
      </w:r>
      <w:proofErr w:type="spellStart"/>
      <w:r w:rsidRPr="00561C80">
        <w:rPr>
          <w:sz w:val="20"/>
          <w:szCs w:val="18"/>
        </w:rPr>
        <w:t>eg.</w:t>
      </w:r>
      <w:proofErr w:type="spellEnd"/>
      <w:r w:rsidRPr="00561C80">
        <w:rPr>
          <w:sz w:val="20"/>
          <w:szCs w:val="18"/>
        </w:rPr>
        <w:t xml:space="preserve"> document, audit, incident, training certificate, risk, check etc) has a unique alpha numeric identifier. For example, a complaint management policy held in LOGIQC’s document register may have an ID# of </w:t>
      </w:r>
      <w:r w:rsidR="007604C3" w:rsidRPr="007604C3">
        <w:rPr>
          <w:sz w:val="20"/>
          <w:szCs w:val="18"/>
        </w:rPr>
        <w:t xml:space="preserve">“doc_024”, this means that document number 24 on their Document Register will be the </w:t>
      </w:r>
      <w:r w:rsidR="00473B9E">
        <w:rPr>
          <w:sz w:val="20"/>
          <w:szCs w:val="18"/>
        </w:rPr>
        <w:t>policy and f</w:t>
      </w:r>
      <w:r w:rsidR="007604C3" w:rsidRPr="007604C3">
        <w:rPr>
          <w:sz w:val="20"/>
          <w:szCs w:val="18"/>
        </w:rPr>
        <w:t>uture versions of this document will still be doc_24 but simply a newer version.</w:t>
      </w:r>
      <w:r w:rsidR="007604C3">
        <w:rPr>
          <w:sz w:val="20"/>
          <w:szCs w:val="18"/>
        </w:rPr>
        <w:t xml:space="preserve"> </w:t>
      </w:r>
    </w:p>
    <w:p w14:paraId="197EEEDC" w14:textId="17238ACF" w:rsidR="00CB7195" w:rsidRPr="001930CA" w:rsidRDefault="00CB7195" w:rsidP="00CB7195">
      <w:pPr>
        <w:pStyle w:val="Body"/>
        <w:rPr>
          <w:sz w:val="20"/>
          <w:szCs w:val="18"/>
          <w:lang w:eastAsia="en-US"/>
        </w:rPr>
      </w:pPr>
      <w:r w:rsidRPr="001930CA">
        <w:rPr>
          <w:sz w:val="20"/>
          <w:szCs w:val="18"/>
          <w:lang w:eastAsia="en-US"/>
        </w:rPr>
        <w:t>In addition to documents such as policies and procedures, assessors will be able to access a wide range of evidentiary information in a practice’s LOGIQC QMS (depending on the registers and modules that the practice has activated in their system</w:t>
      </w:r>
      <w:r w:rsidR="003A3918">
        <w:rPr>
          <w:sz w:val="20"/>
          <w:szCs w:val="18"/>
          <w:lang w:eastAsia="en-US"/>
        </w:rPr>
        <w:t xml:space="preserve">. </w:t>
      </w:r>
      <w:r w:rsidR="003A3918" w:rsidRPr="003A3918">
        <w:rPr>
          <w:sz w:val="20"/>
          <w:szCs w:val="18"/>
          <w:lang w:eastAsia="en-US"/>
        </w:rPr>
        <w:t>Types of evidence LOGIQC can hold</w:t>
      </w:r>
      <w:r w:rsidR="003A3918">
        <w:rPr>
          <w:sz w:val="20"/>
          <w:szCs w:val="18"/>
          <w:lang w:eastAsia="en-US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041"/>
        <w:gridCol w:w="789"/>
        <w:gridCol w:w="6917"/>
      </w:tblGrid>
      <w:tr w:rsidR="00CB7195" w:rsidRPr="00980B2B" w14:paraId="5C3D7BF5" w14:textId="77777777" w:rsidTr="00980B2B">
        <w:trPr>
          <w:trHeight w:val="397"/>
        </w:trPr>
        <w:tc>
          <w:tcPr>
            <w:tcW w:w="2041" w:type="dxa"/>
            <w:shd w:val="clear" w:color="auto" w:fill="D9D9D9" w:themeFill="background1" w:themeFillShade="D9"/>
          </w:tcPr>
          <w:p w14:paraId="359E30AF" w14:textId="588CA7FE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Register or Module name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10BE7D59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ID# prefix</w:t>
            </w:r>
          </w:p>
        </w:tc>
        <w:tc>
          <w:tcPr>
            <w:tcW w:w="6917" w:type="dxa"/>
            <w:shd w:val="clear" w:color="auto" w:fill="D9D9D9" w:themeFill="background1" w:themeFillShade="D9"/>
          </w:tcPr>
          <w:p w14:paraId="76DB75A7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Evidence that may be available</w:t>
            </w:r>
          </w:p>
        </w:tc>
      </w:tr>
      <w:tr w:rsidR="00CB7195" w:rsidRPr="00980B2B" w14:paraId="65B53129" w14:textId="77777777" w:rsidTr="00980B2B">
        <w:trPr>
          <w:trHeight w:val="397"/>
        </w:trPr>
        <w:tc>
          <w:tcPr>
            <w:tcW w:w="2041" w:type="dxa"/>
          </w:tcPr>
          <w:p w14:paraId="3DC93C3F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Document register</w:t>
            </w:r>
          </w:p>
        </w:tc>
        <w:tc>
          <w:tcPr>
            <w:tcW w:w="789" w:type="dxa"/>
          </w:tcPr>
          <w:p w14:paraId="6C191959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doc</w:t>
            </w:r>
          </w:p>
        </w:tc>
        <w:tc>
          <w:tcPr>
            <w:tcW w:w="6917" w:type="dxa"/>
          </w:tcPr>
          <w:p w14:paraId="19EE4AB8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 xml:space="preserve">Version controlled policies, procedures, forms, templates and other digital resources </w:t>
            </w:r>
          </w:p>
        </w:tc>
      </w:tr>
      <w:tr w:rsidR="00CB7195" w:rsidRPr="00980B2B" w14:paraId="7DD95D20" w14:textId="77777777" w:rsidTr="00980B2B">
        <w:trPr>
          <w:trHeight w:val="397"/>
        </w:trPr>
        <w:tc>
          <w:tcPr>
            <w:tcW w:w="2041" w:type="dxa"/>
          </w:tcPr>
          <w:p w14:paraId="732BD433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Contract register</w:t>
            </w:r>
          </w:p>
        </w:tc>
        <w:tc>
          <w:tcPr>
            <w:tcW w:w="789" w:type="dxa"/>
          </w:tcPr>
          <w:p w14:paraId="73788E5A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con</w:t>
            </w:r>
          </w:p>
        </w:tc>
        <w:tc>
          <w:tcPr>
            <w:tcW w:w="6917" w:type="dxa"/>
          </w:tcPr>
          <w:p w14:paraId="72FA0D33" w14:textId="6B26956E" w:rsidR="00CB7195" w:rsidRPr="00980B2B" w:rsidRDefault="00980B2B" w:rsidP="001930CA">
            <w:pPr>
              <w:spacing w:before="20" w:after="20"/>
              <w:rPr>
                <w:sz w:val="18"/>
              </w:rPr>
            </w:pPr>
            <w:r>
              <w:rPr>
                <w:sz w:val="18"/>
              </w:rPr>
              <w:t>S</w:t>
            </w:r>
            <w:r w:rsidR="00CB7195" w:rsidRPr="00980B2B">
              <w:rPr>
                <w:sz w:val="18"/>
              </w:rPr>
              <w:t>upplier contracts, funding agreements, staff employment contracts and MOU’s</w:t>
            </w:r>
          </w:p>
        </w:tc>
      </w:tr>
      <w:tr w:rsidR="00CB7195" w:rsidRPr="00980B2B" w14:paraId="2CEC1082" w14:textId="77777777" w:rsidTr="00980B2B">
        <w:trPr>
          <w:trHeight w:val="397"/>
        </w:trPr>
        <w:tc>
          <w:tcPr>
            <w:tcW w:w="2041" w:type="dxa"/>
          </w:tcPr>
          <w:p w14:paraId="16D6A1B8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Records register</w:t>
            </w:r>
          </w:p>
        </w:tc>
        <w:tc>
          <w:tcPr>
            <w:tcW w:w="789" w:type="dxa"/>
          </w:tcPr>
          <w:p w14:paraId="4306C485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rec</w:t>
            </w:r>
          </w:p>
        </w:tc>
        <w:tc>
          <w:tcPr>
            <w:tcW w:w="6917" w:type="dxa"/>
          </w:tcPr>
          <w:p w14:paraId="75ADF064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Training and credentialing certificates and audit reports</w:t>
            </w:r>
          </w:p>
        </w:tc>
      </w:tr>
      <w:tr w:rsidR="00CB7195" w:rsidRPr="00980B2B" w14:paraId="3C610DEE" w14:textId="77777777" w:rsidTr="00980B2B">
        <w:trPr>
          <w:trHeight w:val="397"/>
        </w:trPr>
        <w:tc>
          <w:tcPr>
            <w:tcW w:w="2041" w:type="dxa"/>
          </w:tcPr>
          <w:p w14:paraId="77421F85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Audit register</w:t>
            </w:r>
          </w:p>
        </w:tc>
        <w:tc>
          <w:tcPr>
            <w:tcW w:w="789" w:type="dxa"/>
          </w:tcPr>
          <w:p w14:paraId="3EC0186B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proofErr w:type="spellStart"/>
            <w:r w:rsidRPr="00980B2B">
              <w:rPr>
                <w:sz w:val="18"/>
              </w:rPr>
              <w:t>aud</w:t>
            </w:r>
            <w:proofErr w:type="spellEnd"/>
          </w:p>
        </w:tc>
        <w:tc>
          <w:tcPr>
            <w:tcW w:w="6917" w:type="dxa"/>
          </w:tcPr>
          <w:p w14:paraId="6A75984F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Completed and scheduled audits, associated reports and links to quality improvements</w:t>
            </w:r>
          </w:p>
        </w:tc>
      </w:tr>
      <w:tr w:rsidR="00CB7195" w:rsidRPr="00980B2B" w14:paraId="1AC57A91" w14:textId="77777777" w:rsidTr="00980B2B">
        <w:trPr>
          <w:trHeight w:val="397"/>
        </w:trPr>
        <w:tc>
          <w:tcPr>
            <w:tcW w:w="2041" w:type="dxa"/>
          </w:tcPr>
          <w:p w14:paraId="72602745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Compliance register</w:t>
            </w:r>
          </w:p>
        </w:tc>
        <w:tc>
          <w:tcPr>
            <w:tcW w:w="789" w:type="dxa"/>
          </w:tcPr>
          <w:p w14:paraId="6DCF6AAA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com</w:t>
            </w:r>
          </w:p>
        </w:tc>
        <w:tc>
          <w:tcPr>
            <w:tcW w:w="6917" w:type="dxa"/>
          </w:tcPr>
          <w:p w14:paraId="493BEB7A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Completed recurring tasks and checks and associated documentation</w:t>
            </w:r>
          </w:p>
        </w:tc>
      </w:tr>
      <w:tr w:rsidR="00CB7195" w:rsidRPr="00980B2B" w14:paraId="3CE037B3" w14:textId="77777777" w:rsidTr="00980B2B">
        <w:trPr>
          <w:trHeight w:val="397"/>
        </w:trPr>
        <w:tc>
          <w:tcPr>
            <w:tcW w:w="2041" w:type="dxa"/>
          </w:tcPr>
          <w:p w14:paraId="24FBDEF3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Training register</w:t>
            </w:r>
          </w:p>
        </w:tc>
        <w:tc>
          <w:tcPr>
            <w:tcW w:w="789" w:type="dxa"/>
          </w:tcPr>
          <w:p w14:paraId="6DA4D4AF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proofErr w:type="spellStart"/>
            <w:r w:rsidRPr="00980B2B">
              <w:rPr>
                <w:sz w:val="18"/>
              </w:rPr>
              <w:t>tra</w:t>
            </w:r>
            <w:proofErr w:type="spellEnd"/>
          </w:p>
        </w:tc>
        <w:tc>
          <w:tcPr>
            <w:tcW w:w="6917" w:type="dxa"/>
          </w:tcPr>
          <w:p w14:paraId="6780378E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 xml:space="preserve">Completed and scheduled staff training and links to certificates </w:t>
            </w:r>
          </w:p>
        </w:tc>
      </w:tr>
      <w:tr w:rsidR="00CB7195" w:rsidRPr="00980B2B" w14:paraId="678DA476" w14:textId="77777777" w:rsidTr="00980B2B">
        <w:trPr>
          <w:trHeight w:val="397"/>
        </w:trPr>
        <w:tc>
          <w:tcPr>
            <w:tcW w:w="2041" w:type="dxa"/>
          </w:tcPr>
          <w:p w14:paraId="00C5A433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Licencing register</w:t>
            </w:r>
          </w:p>
        </w:tc>
        <w:tc>
          <w:tcPr>
            <w:tcW w:w="789" w:type="dxa"/>
          </w:tcPr>
          <w:p w14:paraId="3938E7A8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proofErr w:type="spellStart"/>
            <w:r w:rsidRPr="00980B2B">
              <w:rPr>
                <w:sz w:val="18"/>
              </w:rPr>
              <w:t>lic</w:t>
            </w:r>
            <w:proofErr w:type="spellEnd"/>
          </w:p>
        </w:tc>
        <w:tc>
          <w:tcPr>
            <w:tcW w:w="6917" w:type="dxa"/>
          </w:tcPr>
          <w:p w14:paraId="571BFB89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Completed and scheduled credential checks and links to certificates</w:t>
            </w:r>
          </w:p>
        </w:tc>
      </w:tr>
      <w:tr w:rsidR="00CB7195" w:rsidRPr="00980B2B" w14:paraId="7E1512D6" w14:textId="77777777" w:rsidTr="00980B2B">
        <w:trPr>
          <w:trHeight w:val="397"/>
        </w:trPr>
        <w:tc>
          <w:tcPr>
            <w:tcW w:w="2041" w:type="dxa"/>
          </w:tcPr>
          <w:p w14:paraId="3FEB4013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Incidents register</w:t>
            </w:r>
          </w:p>
        </w:tc>
        <w:tc>
          <w:tcPr>
            <w:tcW w:w="789" w:type="dxa"/>
          </w:tcPr>
          <w:p w14:paraId="3F05E062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proofErr w:type="spellStart"/>
            <w:r w:rsidRPr="00980B2B">
              <w:rPr>
                <w:sz w:val="18"/>
              </w:rPr>
              <w:t>inc</w:t>
            </w:r>
            <w:proofErr w:type="spellEnd"/>
          </w:p>
        </w:tc>
        <w:tc>
          <w:tcPr>
            <w:tcW w:w="6917" w:type="dxa"/>
          </w:tcPr>
          <w:p w14:paraId="5F7DF461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 xml:space="preserve">Reported incidents and details of the outcome </w:t>
            </w:r>
          </w:p>
        </w:tc>
      </w:tr>
      <w:tr w:rsidR="00CB7195" w:rsidRPr="00980B2B" w14:paraId="50C2A0D9" w14:textId="77777777" w:rsidTr="00980B2B">
        <w:trPr>
          <w:trHeight w:val="397"/>
        </w:trPr>
        <w:tc>
          <w:tcPr>
            <w:tcW w:w="2041" w:type="dxa"/>
          </w:tcPr>
          <w:p w14:paraId="0980A7A3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Feedback register</w:t>
            </w:r>
          </w:p>
        </w:tc>
        <w:tc>
          <w:tcPr>
            <w:tcW w:w="789" w:type="dxa"/>
          </w:tcPr>
          <w:p w14:paraId="27ABD07D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fee</w:t>
            </w:r>
          </w:p>
        </w:tc>
        <w:tc>
          <w:tcPr>
            <w:tcW w:w="6917" w:type="dxa"/>
          </w:tcPr>
          <w:p w14:paraId="056A0EB3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Reported feedback and complaints and details of the outcome</w:t>
            </w:r>
          </w:p>
        </w:tc>
      </w:tr>
      <w:tr w:rsidR="00CB7195" w:rsidRPr="00980B2B" w14:paraId="453EC66A" w14:textId="77777777" w:rsidTr="00980B2B">
        <w:trPr>
          <w:trHeight w:val="397"/>
        </w:trPr>
        <w:tc>
          <w:tcPr>
            <w:tcW w:w="2041" w:type="dxa"/>
          </w:tcPr>
          <w:p w14:paraId="55A18B09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Improvement register</w:t>
            </w:r>
          </w:p>
        </w:tc>
        <w:tc>
          <w:tcPr>
            <w:tcW w:w="789" w:type="dxa"/>
          </w:tcPr>
          <w:p w14:paraId="315FA8D2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imp</w:t>
            </w:r>
          </w:p>
        </w:tc>
        <w:tc>
          <w:tcPr>
            <w:tcW w:w="6917" w:type="dxa"/>
          </w:tcPr>
          <w:p w14:paraId="3DDC3DE1" w14:textId="5358C314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Quality improvement</w:t>
            </w:r>
            <w:r w:rsidR="00980B2B">
              <w:rPr>
                <w:sz w:val="18"/>
              </w:rPr>
              <w:t>s</w:t>
            </w:r>
            <w:r w:rsidRPr="00980B2B">
              <w:rPr>
                <w:sz w:val="18"/>
              </w:rPr>
              <w:t xml:space="preserve"> </w:t>
            </w:r>
            <w:r w:rsidR="00980B2B">
              <w:rPr>
                <w:sz w:val="18"/>
              </w:rPr>
              <w:t xml:space="preserve">and </w:t>
            </w:r>
            <w:r w:rsidRPr="00980B2B">
              <w:rPr>
                <w:sz w:val="18"/>
              </w:rPr>
              <w:t xml:space="preserve">issues arising from audits </w:t>
            </w:r>
          </w:p>
        </w:tc>
      </w:tr>
      <w:tr w:rsidR="00CB7195" w:rsidRPr="00980B2B" w14:paraId="796119D3" w14:textId="77777777" w:rsidTr="00980B2B">
        <w:trPr>
          <w:trHeight w:val="397"/>
        </w:trPr>
        <w:tc>
          <w:tcPr>
            <w:tcW w:w="2041" w:type="dxa"/>
          </w:tcPr>
          <w:p w14:paraId="144EBD02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Repairs register</w:t>
            </w:r>
          </w:p>
        </w:tc>
        <w:tc>
          <w:tcPr>
            <w:tcW w:w="789" w:type="dxa"/>
          </w:tcPr>
          <w:p w14:paraId="2BB5A9CE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rep</w:t>
            </w:r>
          </w:p>
        </w:tc>
        <w:tc>
          <w:tcPr>
            <w:tcW w:w="6917" w:type="dxa"/>
          </w:tcPr>
          <w:p w14:paraId="73400086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Reported issues with equipment and facilities</w:t>
            </w:r>
          </w:p>
        </w:tc>
      </w:tr>
      <w:tr w:rsidR="00CB7195" w:rsidRPr="00980B2B" w14:paraId="2C4789A8" w14:textId="77777777" w:rsidTr="00980B2B">
        <w:trPr>
          <w:trHeight w:val="397"/>
        </w:trPr>
        <w:tc>
          <w:tcPr>
            <w:tcW w:w="2041" w:type="dxa"/>
          </w:tcPr>
          <w:p w14:paraId="1D28AB51" w14:textId="3235369E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Accreditation module</w:t>
            </w:r>
          </w:p>
        </w:tc>
        <w:tc>
          <w:tcPr>
            <w:tcW w:w="789" w:type="dxa"/>
          </w:tcPr>
          <w:p w14:paraId="3C40F90D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acc</w:t>
            </w:r>
          </w:p>
        </w:tc>
        <w:tc>
          <w:tcPr>
            <w:tcW w:w="6917" w:type="dxa"/>
          </w:tcPr>
          <w:p w14:paraId="239F2B29" w14:textId="2363DA02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Links to evidence of compliance categorised against indicators and criterion</w:t>
            </w:r>
          </w:p>
        </w:tc>
      </w:tr>
      <w:tr w:rsidR="00CB7195" w:rsidRPr="00980B2B" w14:paraId="5C61424A" w14:textId="77777777" w:rsidTr="00980B2B">
        <w:trPr>
          <w:trHeight w:val="397"/>
        </w:trPr>
        <w:tc>
          <w:tcPr>
            <w:tcW w:w="2041" w:type="dxa"/>
          </w:tcPr>
          <w:p w14:paraId="4F78A9A1" w14:textId="23440FE5" w:rsidR="00CB7195" w:rsidRPr="00980B2B" w:rsidRDefault="00CB7195" w:rsidP="001930CA">
            <w:pPr>
              <w:spacing w:before="20" w:after="20"/>
              <w:rPr>
                <w:sz w:val="18"/>
              </w:rPr>
            </w:pPr>
            <w:r w:rsidRPr="00980B2B">
              <w:rPr>
                <w:sz w:val="18"/>
              </w:rPr>
              <w:t>Risk module</w:t>
            </w:r>
          </w:p>
        </w:tc>
        <w:tc>
          <w:tcPr>
            <w:tcW w:w="789" w:type="dxa"/>
          </w:tcPr>
          <w:p w14:paraId="631056C9" w14:textId="77777777" w:rsidR="00CB7195" w:rsidRPr="00980B2B" w:rsidRDefault="00CB7195" w:rsidP="001930CA">
            <w:pPr>
              <w:spacing w:before="20" w:after="20"/>
              <w:rPr>
                <w:sz w:val="18"/>
              </w:rPr>
            </w:pPr>
            <w:proofErr w:type="spellStart"/>
            <w:r w:rsidRPr="00980B2B">
              <w:rPr>
                <w:sz w:val="18"/>
              </w:rPr>
              <w:t>rsk</w:t>
            </w:r>
            <w:proofErr w:type="spellEnd"/>
          </w:p>
        </w:tc>
        <w:tc>
          <w:tcPr>
            <w:tcW w:w="6917" w:type="dxa"/>
          </w:tcPr>
          <w:p w14:paraId="04DE39EF" w14:textId="7DA50544" w:rsidR="00CB7195" w:rsidRPr="00980B2B" w:rsidRDefault="001930CA" w:rsidP="001930CA">
            <w:pPr>
              <w:spacing w:before="20" w:after="20"/>
              <w:rPr>
                <w:sz w:val="18"/>
              </w:rPr>
            </w:pPr>
            <w:r>
              <w:rPr>
                <w:sz w:val="18"/>
              </w:rPr>
              <w:t>I</w:t>
            </w:r>
            <w:r w:rsidRPr="00980B2B">
              <w:rPr>
                <w:sz w:val="18"/>
              </w:rPr>
              <w:t xml:space="preserve">dentified </w:t>
            </w:r>
            <w:r>
              <w:rPr>
                <w:sz w:val="18"/>
              </w:rPr>
              <w:t>c</w:t>
            </w:r>
            <w:r w:rsidR="00CB7195" w:rsidRPr="00980B2B">
              <w:rPr>
                <w:sz w:val="18"/>
              </w:rPr>
              <w:t xml:space="preserve">linical and health and safety risks and information about how </w:t>
            </w:r>
            <w:r>
              <w:rPr>
                <w:sz w:val="18"/>
              </w:rPr>
              <w:t xml:space="preserve">they </w:t>
            </w:r>
            <w:r w:rsidR="00CB7195" w:rsidRPr="00980B2B">
              <w:rPr>
                <w:sz w:val="18"/>
              </w:rPr>
              <w:t>are managed</w:t>
            </w:r>
          </w:p>
        </w:tc>
      </w:tr>
    </w:tbl>
    <w:p w14:paraId="4D4705D7" w14:textId="560B8CD4" w:rsidR="00CB7195" w:rsidRDefault="00CB7195" w:rsidP="007604C3">
      <w:pPr>
        <w:spacing w:after="160" w:line="259" w:lineRule="auto"/>
      </w:pPr>
      <w:r>
        <w:br/>
      </w:r>
    </w:p>
    <w:p w14:paraId="4F116392" w14:textId="6954CAD1" w:rsidR="002A6EF1" w:rsidRDefault="002A6EF1" w:rsidP="006618B5">
      <w:pPr>
        <w:pStyle w:val="Heading2"/>
      </w:pPr>
      <w:bookmarkStart w:id="6" w:name="_Toc513970813"/>
      <w:r w:rsidRPr="00D67F0B">
        <w:lastRenderedPageBreak/>
        <w:t>What assessors need to do</w:t>
      </w:r>
      <w:bookmarkEnd w:id="6"/>
    </w:p>
    <w:p w14:paraId="6E9D8195" w14:textId="00324829" w:rsidR="00634C7D" w:rsidRPr="00634C7D" w:rsidRDefault="00634C7D" w:rsidP="00A558F2">
      <w:pPr>
        <w:pStyle w:val="ListParagraph"/>
        <w:numPr>
          <w:ilvl w:val="0"/>
          <w:numId w:val="46"/>
        </w:numPr>
        <w:spacing w:before="120"/>
        <w:rPr>
          <w:sz w:val="20"/>
        </w:rPr>
      </w:pPr>
      <w:r w:rsidRPr="00634C7D">
        <w:rPr>
          <w:sz w:val="20"/>
        </w:rPr>
        <w:t>Log into the practice’s LOGIQC QMS system using the link and access details supplied by the practice</w:t>
      </w:r>
    </w:p>
    <w:p w14:paraId="2B812A5D" w14:textId="77777777" w:rsidR="00634C7D" w:rsidRPr="0080396D" w:rsidRDefault="00634C7D" w:rsidP="00634C7D">
      <w:pPr>
        <w:spacing w:before="120" w:after="120"/>
        <w:ind w:left="360"/>
        <w:rPr>
          <w:sz w:val="18"/>
        </w:rPr>
      </w:pPr>
      <w:r w:rsidRPr="00561C80">
        <w:rPr>
          <w:noProof/>
          <w:sz w:val="20"/>
          <w:szCs w:val="20"/>
          <w:lang w:eastAsia="en-NZ"/>
        </w:rPr>
        <w:drawing>
          <wp:inline distT="0" distB="0" distL="0" distR="0" wp14:anchorId="61126D22" wp14:editId="115C0697">
            <wp:extent cx="1621790" cy="525906"/>
            <wp:effectExtent l="19050" t="19050" r="16510" b="2667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423" t="6268" b="34514"/>
                    <a:stretch/>
                  </pic:blipFill>
                  <pic:spPr bwMode="auto">
                    <a:xfrm>
                      <a:off x="0" y="0"/>
                      <a:ext cx="1664235" cy="5396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307BB" w14:textId="77777777" w:rsidR="00634C7D" w:rsidRPr="00A558F2" w:rsidRDefault="00634C7D" w:rsidP="00F57F31">
      <w:pPr>
        <w:pStyle w:val="ListParagraph"/>
        <w:numPr>
          <w:ilvl w:val="0"/>
          <w:numId w:val="46"/>
        </w:numPr>
        <w:spacing w:before="360"/>
        <w:rPr>
          <w:sz w:val="20"/>
        </w:rPr>
      </w:pPr>
      <w:r>
        <w:rPr>
          <w:sz w:val="20"/>
        </w:rPr>
        <w:t xml:space="preserve">Select Registers/Accreditation </w:t>
      </w:r>
    </w:p>
    <w:p w14:paraId="478C5186" w14:textId="77777777" w:rsidR="00634C7D" w:rsidRPr="0080396D" w:rsidRDefault="00634C7D" w:rsidP="00634C7D">
      <w:pPr>
        <w:spacing w:before="120" w:after="120"/>
        <w:ind w:left="360"/>
        <w:rPr>
          <w:sz w:val="18"/>
        </w:rPr>
      </w:pPr>
      <w:r>
        <w:rPr>
          <w:noProof/>
        </w:rPr>
        <w:drawing>
          <wp:inline distT="0" distB="0" distL="0" distR="0" wp14:anchorId="42BA22D7" wp14:editId="2B3B6389">
            <wp:extent cx="3514118" cy="592328"/>
            <wp:effectExtent l="19050" t="19050" r="10160" b="177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41231" r="13738"/>
                    <a:stretch/>
                  </pic:blipFill>
                  <pic:spPr bwMode="auto">
                    <a:xfrm>
                      <a:off x="0" y="0"/>
                      <a:ext cx="3591030" cy="60529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204B2F" w14:textId="14879DDD" w:rsidR="00634C7D" w:rsidRPr="00A558F2" w:rsidRDefault="00634C7D" w:rsidP="00F57F31">
      <w:pPr>
        <w:pStyle w:val="ListParagraph"/>
        <w:numPr>
          <w:ilvl w:val="0"/>
          <w:numId w:val="46"/>
        </w:numPr>
        <w:spacing w:before="360"/>
        <w:rPr>
          <w:sz w:val="20"/>
          <w:szCs w:val="20"/>
        </w:rPr>
      </w:pPr>
      <w:r>
        <w:rPr>
          <w:sz w:val="20"/>
          <w:szCs w:val="20"/>
        </w:rPr>
        <w:t>Select the Indicator to review</w:t>
      </w:r>
      <w:r w:rsidR="00716C8E">
        <w:rPr>
          <w:sz w:val="20"/>
          <w:szCs w:val="20"/>
        </w:rPr>
        <w:t xml:space="preserve"> and a screen will open showing a summary of the criterion and the evidence. Each item in the evidence list is an active hyperlink that will open the individual item.  </w:t>
      </w:r>
    </w:p>
    <w:p w14:paraId="0AF12B2F" w14:textId="77777777" w:rsidR="00634C7D" w:rsidRPr="0080396D" w:rsidRDefault="00634C7D" w:rsidP="00634C7D">
      <w:pPr>
        <w:spacing w:before="120" w:after="120"/>
        <w:ind w:left="360"/>
        <w:rPr>
          <w:sz w:val="18"/>
        </w:rPr>
      </w:pPr>
      <w:r>
        <w:rPr>
          <w:noProof/>
        </w:rPr>
        <w:drawing>
          <wp:inline distT="0" distB="0" distL="0" distR="0" wp14:anchorId="56C56690" wp14:editId="4A2D8FD5">
            <wp:extent cx="3536035" cy="778094"/>
            <wp:effectExtent l="19050" t="19050" r="26670" b="222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8483" cy="7874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3FB6079" w14:textId="56C97B68" w:rsidR="00634C7D" w:rsidRDefault="00634C7D" w:rsidP="003A3918">
      <w:pPr>
        <w:pStyle w:val="ListParagraph"/>
        <w:numPr>
          <w:ilvl w:val="0"/>
          <w:numId w:val="0"/>
        </w:numPr>
        <w:ind w:left="360"/>
        <w:rPr>
          <w:sz w:val="20"/>
        </w:rPr>
      </w:pPr>
      <w:r>
        <w:rPr>
          <w:noProof/>
        </w:rPr>
        <w:drawing>
          <wp:inline distT="0" distB="0" distL="0" distR="0" wp14:anchorId="0A9022E5" wp14:editId="16B867E2">
            <wp:extent cx="5720486" cy="4081790"/>
            <wp:effectExtent l="19050" t="19050" r="13970" b="139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4663" cy="408477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04B4DD9" w14:textId="7C455B48" w:rsidR="00716C8E" w:rsidRDefault="00716C8E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B2FFC5" w14:textId="451DA194" w:rsidR="00F57F31" w:rsidRPr="009547F1" w:rsidRDefault="00F57F31" w:rsidP="009547F1">
      <w:pPr>
        <w:pStyle w:val="Heading2"/>
      </w:pPr>
      <w:bookmarkStart w:id="7" w:name="_Toc513970814"/>
      <w:r w:rsidRPr="009547F1">
        <w:lastRenderedPageBreak/>
        <w:t>Searching for certain criteria</w:t>
      </w:r>
      <w:bookmarkEnd w:id="7"/>
    </w:p>
    <w:p w14:paraId="7CAB26F7" w14:textId="5AFE814B" w:rsidR="00716C8E" w:rsidRPr="00A558F2" w:rsidRDefault="00716C8E" w:rsidP="00F57F31">
      <w:pPr>
        <w:pStyle w:val="ListParagraph"/>
        <w:numPr>
          <w:ilvl w:val="0"/>
          <w:numId w:val="47"/>
        </w:numPr>
        <w:spacing w:before="120"/>
        <w:rPr>
          <w:sz w:val="20"/>
        </w:rPr>
      </w:pPr>
      <w:r>
        <w:rPr>
          <w:sz w:val="20"/>
        </w:rPr>
        <w:t xml:space="preserve">Select Registers/Accreditation </w:t>
      </w:r>
    </w:p>
    <w:p w14:paraId="4D02BF80" w14:textId="77777777" w:rsidR="00716C8E" w:rsidRPr="0080396D" w:rsidRDefault="00716C8E" w:rsidP="00716C8E">
      <w:pPr>
        <w:spacing w:before="120" w:after="120"/>
        <w:ind w:left="360"/>
        <w:rPr>
          <w:sz w:val="18"/>
        </w:rPr>
      </w:pPr>
      <w:r>
        <w:rPr>
          <w:noProof/>
        </w:rPr>
        <w:drawing>
          <wp:inline distT="0" distB="0" distL="0" distR="0" wp14:anchorId="36B2F34B" wp14:editId="0A2C6548">
            <wp:extent cx="3514118" cy="592328"/>
            <wp:effectExtent l="19050" t="19050" r="10160" b="177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41231" r="13738"/>
                    <a:stretch/>
                  </pic:blipFill>
                  <pic:spPr bwMode="auto">
                    <a:xfrm>
                      <a:off x="0" y="0"/>
                      <a:ext cx="3591030" cy="60529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985A5" w14:textId="46BB8EC1" w:rsidR="00F57F31" w:rsidRDefault="00716C8E" w:rsidP="00F57F31">
      <w:pPr>
        <w:pStyle w:val="ListParagraph"/>
        <w:numPr>
          <w:ilvl w:val="0"/>
          <w:numId w:val="47"/>
        </w:numPr>
        <w:spacing w:before="360"/>
        <w:rPr>
          <w:sz w:val="20"/>
          <w:szCs w:val="20"/>
        </w:rPr>
      </w:pPr>
      <w:r>
        <w:rPr>
          <w:sz w:val="20"/>
          <w:szCs w:val="20"/>
        </w:rPr>
        <w:t xml:space="preserve">Select the </w:t>
      </w:r>
      <w:r w:rsidR="00F57F31">
        <w:rPr>
          <w:sz w:val="20"/>
          <w:szCs w:val="20"/>
        </w:rPr>
        <w:t>Assessment tab</w:t>
      </w:r>
    </w:p>
    <w:p w14:paraId="24604FBE" w14:textId="46A2BE29" w:rsidR="00F57F31" w:rsidRDefault="00F57F31" w:rsidP="00F57F31">
      <w:pPr>
        <w:pStyle w:val="ListParagraph"/>
        <w:numPr>
          <w:ilvl w:val="0"/>
          <w:numId w:val="0"/>
        </w:numPr>
        <w:ind w:left="360"/>
        <w:rPr>
          <w:sz w:val="20"/>
          <w:szCs w:val="20"/>
        </w:rPr>
      </w:pPr>
      <w:r>
        <w:rPr>
          <w:noProof/>
        </w:rPr>
        <w:drawing>
          <wp:inline distT="0" distB="0" distL="0" distR="0" wp14:anchorId="6C6601BC" wp14:editId="48D9B18F">
            <wp:extent cx="6194622" cy="534010"/>
            <wp:effectExtent l="19050" t="19050" r="15875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58265" b="11348"/>
                    <a:stretch/>
                  </pic:blipFill>
                  <pic:spPr bwMode="auto">
                    <a:xfrm>
                      <a:off x="0" y="0"/>
                      <a:ext cx="6195695" cy="53410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AC8D0" w14:textId="2513F152" w:rsidR="00F57F31" w:rsidRPr="00A558F2" w:rsidRDefault="00F57F31" w:rsidP="00F57F31">
      <w:pPr>
        <w:pStyle w:val="ListParagraph"/>
        <w:numPr>
          <w:ilvl w:val="0"/>
          <w:numId w:val="47"/>
        </w:numPr>
        <w:spacing w:before="360"/>
        <w:rPr>
          <w:sz w:val="20"/>
          <w:szCs w:val="20"/>
        </w:rPr>
      </w:pPr>
      <w:r>
        <w:rPr>
          <w:sz w:val="20"/>
          <w:szCs w:val="20"/>
        </w:rPr>
        <w:t xml:space="preserve">Click on Advanced Filters, select the search parameters, and select Apply Filter </w:t>
      </w:r>
    </w:p>
    <w:p w14:paraId="5EA68DEE" w14:textId="5BDA4BDA" w:rsidR="00F57F31" w:rsidRDefault="00F57F31" w:rsidP="00F57F31">
      <w:pPr>
        <w:pStyle w:val="ListParagraph"/>
        <w:numPr>
          <w:ilvl w:val="0"/>
          <w:numId w:val="0"/>
        </w:numPr>
        <w:ind w:left="360"/>
        <w:rPr>
          <w:sz w:val="20"/>
          <w:szCs w:val="20"/>
        </w:rPr>
      </w:pPr>
      <w:r>
        <w:rPr>
          <w:noProof/>
        </w:rPr>
        <w:drawing>
          <wp:inline distT="0" distB="0" distL="0" distR="0" wp14:anchorId="609CD3C5" wp14:editId="649D99C3">
            <wp:extent cx="6195695" cy="1757680"/>
            <wp:effectExtent l="19050" t="19050" r="14605" b="139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7576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A9835A0" w14:textId="77777777" w:rsidR="00F57F31" w:rsidRDefault="00F57F31" w:rsidP="003A3918">
      <w:pPr>
        <w:rPr>
          <w:sz w:val="20"/>
        </w:rPr>
      </w:pPr>
    </w:p>
    <w:p w14:paraId="70DED0C1" w14:textId="2124E358" w:rsidR="00F57F31" w:rsidRPr="009547F1" w:rsidRDefault="00F57F31" w:rsidP="009547F1">
      <w:pPr>
        <w:pStyle w:val="Heading2"/>
      </w:pPr>
      <w:bookmarkStart w:id="8" w:name="_Toc513970815"/>
      <w:r w:rsidRPr="009547F1">
        <w:t>Searching for annual program indicators</w:t>
      </w:r>
      <w:bookmarkEnd w:id="8"/>
    </w:p>
    <w:p w14:paraId="50FD56D8" w14:textId="09BCE59E" w:rsidR="00F57F31" w:rsidRPr="00A558F2" w:rsidRDefault="00F57F31" w:rsidP="00F57F31">
      <w:pPr>
        <w:pStyle w:val="ListParagraph"/>
        <w:numPr>
          <w:ilvl w:val="0"/>
          <w:numId w:val="49"/>
        </w:numPr>
        <w:spacing w:before="360"/>
        <w:rPr>
          <w:sz w:val="20"/>
          <w:szCs w:val="20"/>
        </w:rPr>
      </w:pPr>
      <w:r>
        <w:rPr>
          <w:sz w:val="20"/>
          <w:szCs w:val="20"/>
        </w:rPr>
        <w:t xml:space="preserve">Click on the Requirements tab and then Advanced Filters. Select the year in the Option, and select Apply Filter </w:t>
      </w:r>
    </w:p>
    <w:p w14:paraId="1316AEA1" w14:textId="37270A0F" w:rsidR="003A3918" w:rsidRPr="00561C80" w:rsidRDefault="00F57F31" w:rsidP="00F57F31">
      <w:pPr>
        <w:ind w:left="360"/>
        <w:rPr>
          <w:sz w:val="20"/>
          <w:szCs w:val="20"/>
        </w:rPr>
      </w:pPr>
      <w:r>
        <w:rPr>
          <w:noProof/>
        </w:rPr>
        <w:drawing>
          <wp:inline distT="0" distB="0" distL="0" distR="0" wp14:anchorId="6FB9AB67" wp14:editId="29E0A6C4">
            <wp:extent cx="6195695" cy="1607820"/>
            <wp:effectExtent l="19050" t="19050" r="14605" b="1143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6078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4F5AC8F" w14:textId="77777777" w:rsidR="003A3918" w:rsidRPr="003A3918" w:rsidRDefault="003A3918" w:rsidP="003A3918"/>
    <w:p w14:paraId="6925B865" w14:textId="21408879" w:rsidR="00CB7195" w:rsidRPr="00CB7195" w:rsidRDefault="00CB7195" w:rsidP="00CB7195"/>
    <w:p w14:paraId="5DB0B43F" w14:textId="77777777" w:rsidR="00B1278B" w:rsidRDefault="00B1278B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3E60856" w14:textId="053BAEE2" w:rsidR="001A0C45" w:rsidRPr="009547F1" w:rsidRDefault="00EE556E" w:rsidP="009547F1">
      <w:pPr>
        <w:pStyle w:val="Heading2"/>
      </w:pPr>
      <w:bookmarkStart w:id="9" w:name="_Toc513970816"/>
      <w:r>
        <w:lastRenderedPageBreak/>
        <w:t>Attachment A – Assessor Access Form</w:t>
      </w:r>
      <w:bookmarkEnd w:id="9"/>
      <w:r>
        <w:t xml:space="preserve"> </w:t>
      </w:r>
    </w:p>
    <w:p w14:paraId="3ADAA1A3" w14:textId="256AE2D4" w:rsidR="00D532B5" w:rsidRPr="00B1278B" w:rsidRDefault="00B1278B" w:rsidP="00EE556E">
      <w:r>
        <w:t>Practices should provide the information set out below to the College and/or the Assessor to grant access to their LOGIQC QMS.</w:t>
      </w:r>
    </w:p>
    <w:p w14:paraId="3A64A464" w14:textId="3517D356" w:rsidR="00D532B5" w:rsidRPr="00B1278B" w:rsidRDefault="00B1278B" w:rsidP="00D532B5">
      <w:pPr>
        <w:rPr>
          <w:b/>
        </w:rPr>
      </w:pPr>
      <w:r w:rsidRPr="00B1278B">
        <w:rPr>
          <w:b/>
        </w:rPr>
        <w:t>LOGIQC Quality Management System</w:t>
      </w:r>
      <w:r>
        <w:rPr>
          <w:b/>
        </w:rPr>
        <w:t xml:space="preserve"> – Assessor Access Form</w:t>
      </w:r>
    </w:p>
    <w:p w14:paraId="420373C2" w14:textId="77777777" w:rsidR="00D532B5" w:rsidRPr="00D532B5" w:rsidRDefault="00D532B5" w:rsidP="00607075">
      <w:r>
        <w:t xml:space="preserve">&lt;Practice name&gt; authorises </w:t>
      </w:r>
      <w:r w:rsidR="00607075">
        <w:t xml:space="preserve">the </w:t>
      </w:r>
      <w:r>
        <w:t xml:space="preserve">Assessors </w:t>
      </w:r>
      <w:r w:rsidR="00607075">
        <w:t xml:space="preserve">listed below </w:t>
      </w:r>
      <w:r>
        <w:t xml:space="preserve">permission to log in to </w:t>
      </w:r>
      <w:r w:rsidR="00607075">
        <w:t xml:space="preserve">its </w:t>
      </w:r>
      <w:r>
        <w:t xml:space="preserve">LOGIQC Quality Management System for the sole purpose of reviewing </w:t>
      </w:r>
      <w:r w:rsidR="00607075">
        <w:t>evidence in relation to compliance with the RNZCGP Aiming for Excellence standard for New Zealand general 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208"/>
      </w:tblGrid>
      <w:tr w:rsidR="00D532B5" w14:paraId="76C90064" w14:textId="77777777" w:rsidTr="00D532B5">
        <w:tc>
          <w:tcPr>
            <w:tcW w:w="3539" w:type="dxa"/>
            <w:shd w:val="clear" w:color="auto" w:fill="FFF2CC" w:themeFill="accent4" w:themeFillTint="33"/>
            <w:vAlign w:val="center"/>
          </w:tcPr>
          <w:p w14:paraId="197CB4BE" w14:textId="77777777" w:rsidR="00D532B5" w:rsidRDefault="00D532B5" w:rsidP="00D532B5">
            <w:pPr>
              <w:spacing w:before="120" w:after="120"/>
              <w:rPr>
                <w:b/>
              </w:rPr>
            </w:pPr>
            <w:r>
              <w:rPr>
                <w:b/>
              </w:rPr>
              <w:t>Practice name:</w:t>
            </w:r>
          </w:p>
        </w:tc>
        <w:tc>
          <w:tcPr>
            <w:tcW w:w="6208" w:type="dxa"/>
            <w:vAlign w:val="center"/>
          </w:tcPr>
          <w:p w14:paraId="602E99A4" w14:textId="77777777" w:rsidR="00D532B5" w:rsidRDefault="00D532B5" w:rsidP="00D532B5">
            <w:pPr>
              <w:spacing w:before="120" w:after="120"/>
              <w:rPr>
                <w:b/>
              </w:rPr>
            </w:pPr>
          </w:p>
        </w:tc>
      </w:tr>
      <w:tr w:rsidR="00D532B5" w14:paraId="5B254A16" w14:textId="77777777" w:rsidTr="00D532B5">
        <w:tc>
          <w:tcPr>
            <w:tcW w:w="3539" w:type="dxa"/>
            <w:shd w:val="clear" w:color="auto" w:fill="FFF2CC" w:themeFill="accent4" w:themeFillTint="33"/>
            <w:vAlign w:val="center"/>
          </w:tcPr>
          <w:p w14:paraId="1820F80A" w14:textId="77777777" w:rsidR="00D532B5" w:rsidRDefault="00D532B5" w:rsidP="00D532B5">
            <w:pPr>
              <w:spacing w:before="120" w:after="120"/>
              <w:rPr>
                <w:b/>
              </w:rPr>
            </w:pPr>
            <w:r>
              <w:rPr>
                <w:b/>
              </w:rPr>
              <w:t>LOGIQC URL:</w:t>
            </w:r>
          </w:p>
        </w:tc>
        <w:tc>
          <w:tcPr>
            <w:tcW w:w="6208" w:type="dxa"/>
            <w:vAlign w:val="center"/>
          </w:tcPr>
          <w:p w14:paraId="43D846EA" w14:textId="77777777" w:rsidR="00D532B5" w:rsidRDefault="00D532B5" w:rsidP="00D532B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Eg</w:t>
            </w:r>
            <w:proofErr w:type="spellEnd"/>
            <w:r>
              <w:rPr>
                <w:b/>
              </w:rPr>
              <w:t>: https://xxx.logiqc.co.nz</w:t>
            </w:r>
          </w:p>
        </w:tc>
      </w:tr>
      <w:tr w:rsidR="00D532B5" w14:paraId="2872C7E5" w14:textId="77777777" w:rsidTr="00D532B5">
        <w:tc>
          <w:tcPr>
            <w:tcW w:w="3539" w:type="dxa"/>
            <w:shd w:val="clear" w:color="auto" w:fill="FFF2CC" w:themeFill="accent4" w:themeFillTint="33"/>
            <w:vAlign w:val="center"/>
          </w:tcPr>
          <w:p w14:paraId="409807FB" w14:textId="77777777" w:rsidR="00D532B5" w:rsidRDefault="00D532B5" w:rsidP="00D532B5">
            <w:pPr>
              <w:spacing w:before="120" w:after="120"/>
              <w:rPr>
                <w:b/>
              </w:rPr>
            </w:pPr>
            <w:r>
              <w:rPr>
                <w:b/>
              </w:rPr>
              <w:t>Practice contact person:</w:t>
            </w:r>
          </w:p>
        </w:tc>
        <w:tc>
          <w:tcPr>
            <w:tcW w:w="6208" w:type="dxa"/>
            <w:vAlign w:val="center"/>
          </w:tcPr>
          <w:p w14:paraId="237707CB" w14:textId="77777777" w:rsidR="00D532B5" w:rsidRDefault="00D532B5" w:rsidP="00D532B5">
            <w:pPr>
              <w:spacing w:before="120" w:after="120"/>
              <w:rPr>
                <w:b/>
              </w:rPr>
            </w:pPr>
          </w:p>
        </w:tc>
      </w:tr>
      <w:tr w:rsidR="00D532B5" w14:paraId="486E2702" w14:textId="77777777" w:rsidTr="00D532B5">
        <w:tc>
          <w:tcPr>
            <w:tcW w:w="3539" w:type="dxa"/>
            <w:shd w:val="clear" w:color="auto" w:fill="FFF2CC" w:themeFill="accent4" w:themeFillTint="33"/>
            <w:vAlign w:val="center"/>
          </w:tcPr>
          <w:p w14:paraId="566B6B2A" w14:textId="77777777" w:rsidR="00D532B5" w:rsidRDefault="00D532B5" w:rsidP="00D532B5">
            <w:pPr>
              <w:spacing w:before="120" w:after="120"/>
              <w:rPr>
                <w:b/>
              </w:rPr>
            </w:pPr>
            <w:r>
              <w:rPr>
                <w:b/>
              </w:rPr>
              <w:t>Practice contact person phone:</w:t>
            </w:r>
          </w:p>
        </w:tc>
        <w:tc>
          <w:tcPr>
            <w:tcW w:w="6208" w:type="dxa"/>
            <w:vAlign w:val="center"/>
          </w:tcPr>
          <w:p w14:paraId="71FB1554" w14:textId="77777777" w:rsidR="00D532B5" w:rsidRDefault="00D532B5" w:rsidP="00D532B5">
            <w:pPr>
              <w:spacing w:before="120" w:after="120"/>
              <w:rPr>
                <w:b/>
              </w:rPr>
            </w:pPr>
          </w:p>
        </w:tc>
      </w:tr>
      <w:tr w:rsidR="00D532B5" w14:paraId="276096C6" w14:textId="77777777" w:rsidTr="00D532B5">
        <w:tc>
          <w:tcPr>
            <w:tcW w:w="3539" w:type="dxa"/>
            <w:shd w:val="clear" w:color="auto" w:fill="FFF2CC" w:themeFill="accent4" w:themeFillTint="33"/>
            <w:vAlign w:val="center"/>
          </w:tcPr>
          <w:p w14:paraId="679F38A1" w14:textId="77777777" w:rsidR="00D532B5" w:rsidRDefault="00D532B5" w:rsidP="00D532B5">
            <w:pPr>
              <w:spacing w:before="120" w:after="120"/>
              <w:rPr>
                <w:b/>
              </w:rPr>
            </w:pPr>
            <w:r>
              <w:rPr>
                <w:b/>
              </w:rPr>
              <w:t>Assessor username:</w:t>
            </w:r>
          </w:p>
        </w:tc>
        <w:tc>
          <w:tcPr>
            <w:tcW w:w="6208" w:type="dxa"/>
            <w:vAlign w:val="center"/>
          </w:tcPr>
          <w:p w14:paraId="624C6236" w14:textId="77777777" w:rsidR="00D532B5" w:rsidRDefault="00D532B5" w:rsidP="00D532B5">
            <w:pPr>
              <w:spacing w:before="120" w:after="120"/>
              <w:rPr>
                <w:b/>
              </w:rPr>
            </w:pPr>
          </w:p>
        </w:tc>
      </w:tr>
      <w:tr w:rsidR="00D532B5" w14:paraId="6775AB80" w14:textId="77777777" w:rsidTr="00D532B5">
        <w:tc>
          <w:tcPr>
            <w:tcW w:w="3539" w:type="dxa"/>
            <w:shd w:val="clear" w:color="auto" w:fill="FFF2CC" w:themeFill="accent4" w:themeFillTint="33"/>
            <w:vAlign w:val="center"/>
          </w:tcPr>
          <w:p w14:paraId="3F84E5A6" w14:textId="77777777" w:rsidR="00D532B5" w:rsidRDefault="00D532B5" w:rsidP="00D532B5">
            <w:pPr>
              <w:spacing w:before="120" w:after="120"/>
              <w:rPr>
                <w:b/>
              </w:rPr>
            </w:pPr>
            <w:r>
              <w:rPr>
                <w:b/>
              </w:rPr>
              <w:t>Assessor password:</w:t>
            </w:r>
          </w:p>
        </w:tc>
        <w:tc>
          <w:tcPr>
            <w:tcW w:w="6208" w:type="dxa"/>
            <w:vAlign w:val="center"/>
          </w:tcPr>
          <w:p w14:paraId="686AE23A" w14:textId="77777777" w:rsidR="00D532B5" w:rsidRDefault="00D532B5" w:rsidP="00D532B5">
            <w:pPr>
              <w:spacing w:before="120" w:after="120"/>
              <w:rPr>
                <w:b/>
              </w:rPr>
            </w:pPr>
          </w:p>
        </w:tc>
      </w:tr>
      <w:tr w:rsidR="00607075" w14:paraId="3E960DFF" w14:textId="77777777" w:rsidTr="00D532B5">
        <w:tc>
          <w:tcPr>
            <w:tcW w:w="3539" w:type="dxa"/>
            <w:shd w:val="clear" w:color="auto" w:fill="FFF2CC" w:themeFill="accent4" w:themeFillTint="33"/>
            <w:vAlign w:val="center"/>
          </w:tcPr>
          <w:p w14:paraId="284144F0" w14:textId="77777777" w:rsidR="00607075" w:rsidRDefault="00607075" w:rsidP="00D532B5">
            <w:pPr>
              <w:spacing w:before="120" w:after="120"/>
              <w:rPr>
                <w:b/>
              </w:rPr>
            </w:pPr>
            <w:r>
              <w:rPr>
                <w:b/>
              </w:rPr>
              <w:t>Date access is provided:</w:t>
            </w:r>
          </w:p>
        </w:tc>
        <w:tc>
          <w:tcPr>
            <w:tcW w:w="6208" w:type="dxa"/>
            <w:vAlign w:val="center"/>
          </w:tcPr>
          <w:p w14:paraId="6AFE7331" w14:textId="77777777" w:rsidR="00607075" w:rsidRDefault="00607075" w:rsidP="00D532B5">
            <w:pPr>
              <w:spacing w:before="120" w:after="120"/>
              <w:rPr>
                <w:b/>
              </w:rPr>
            </w:pPr>
          </w:p>
        </w:tc>
      </w:tr>
      <w:tr w:rsidR="00607075" w14:paraId="047C8098" w14:textId="77777777" w:rsidTr="00D532B5">
        <w:tc>
          <w:tcPr>
            <w:tcW w:w="3539" w:type="dxa"/>
            <w:shd w:val="clear" w:color="auto" w:fill="FFF2CC" w:themeFill="accent4" w:themeFillTint="33"/>
            <w:vAlign w:val="center"/>
          </w:tcPr>
          <w:p w14:paraId="1DA3B865" w14:textId="77777777" w:rsidR="00607075" w:rsidRDefault="00607075" w:rsidP="00D532B5">
            <w:pPr>
              <w:spacing w:before="120" w:after="120"/>
              <w:rPr>
                <w:b/>
              </w:rPr>
            </w:pPr>
            <w:r>
              <w:rPr>
                <w:b/>
              </w:rPr>
              <w:t>Date access is terminated:</w:t>
            </w:r>
          </w:p>
        </w:tc>
        <w:tc>
          <w:tcPr>
            <w:tcW w:w="6208" w:type="dxa"/>
            <w:vAlign w:val="center"/>
          </w:tcPr>
          <w:p w14:paraId="2CE5BC7B" w14:textId="77777777" w:rsidR="00607075" w:rsidRDefault="00607075" w:rsidP="00D532B5">
            <w:pPr>
              <w:spacing w:before="120" w:after="120"/>
              <w:rPr>
                <w:b/>
              </w:rPr>
            </w:pPr>
          </w:p>
        </w:tc>
      </w:tr>
    </w:tbl>
    <w:p w14:paraId="375E0CC1" w14:textId="77777777" w:rsidR="00D532B5" w:rsidRPr="00EE556E" w:rsidRDefault="00D532B5" w:rsidP="00EE556E">
      <w:pPr>
        <w:rPr>
          <w:b/>
        </w:rPr>
      </w:pPr>
    </w:p>
    <w:sectPr w:rsidR="00D532B5" w:rsidRPr="00EE556E" w:rsidSect="00A6194A">
      <w:headerReference w:type="default" r:id="rId23"/>
      <w:footerReference w:type="default" r:id="rId24"/>
      <w:pgSz w:w="11906" w:h="16838" w:code="9"/>
      <w:pgMar w:top="1843" w:right="1440" w:bottom="709" w:left="709" w:header="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324E8" w14:textId="77777777" w:rsidR="0025178A" w:rsidRDefault="0025178A" w:rsidP="007007B8">
      <w:pPr>
        <w:spacing w:after="0" w:line="240" w:lineRule="auto"/>
      </w:pPr>
      <w:r>
        <w:separator/>
      </w:r>
    </w:p>
  </w:endnote>
  <w:endnote w:type="continuationSeparator" w:id="0">
    <w:p w14:paraId="461B488D" w14:textId="77777777" w:rsidR="0025178A" w:rsidRDefault="0025178A" w:rsidP="0070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0D5B" w14:textId="77777777" w:rsidR="00C316D9" w:rsidRDefault="00C31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98BB" w14:textId="1866EEBE" w:rsidR="0080396D" w:rsidRPr="009C4303" w:rsidRDefault="0080396D" w:rsidP="002F1FF8">
    <w:pPr>
      <w:pStyle w:val="Footer"/>
      <w:tabs>
        <w:tab w:val="clear" w:pos="4513"/>
        <w:tab w:val="clear" w:pos="9026"/>
        <w:tab w:val="center" w:pos="5103"/>
        <w:tab w:val="right" w:pos="10348"/>
      </w:tabs>
      <w:spacing w:before="120"/>
      <w:rPr>
        <w:color w:val="FFFFFF" w:themeColor="background1"/>
        <w:sz w:val="18"/>
      </w:rPr>
    </w:pPr>
    <w:r>
      <w:rPr>
        <w:noProof/>
        <w:color w:val="FFFFFF" w:themeColor="background1"/>
        <w:sz w:val="18"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15C60F3" wp14:editId="20000B51">
              <wp:simplePos x="0" y="0"/>
              <wp:positionH relativeFrom="column">
                <wp:posOffset>-441589</wp:posOffset>
              </wp:positionH>
              <wp:positionV relativeFrom="paragraph">
                <wp:posOffset>335</wp:posOffset>
              </wp:positionV>
              <wp:extent cx="7551684" cy="465827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684" cy="465827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C348B5" id="Rectangle 7" o:spid="_x0000_s1026" style="position:absolute;margin-left:-34.75pt;margin-top:.05pt;width:594.6pt;height:36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" fillcolor="#5a5a5a [2109]" stroked="f" strokeweight="1pt"/>
          </w:pict>
        </mc:Fallback>
      </mc:AlternateContent>
    </w:r>
    <w:r w:rsidRPr="00C44941">
      <w:rPr>
        <w:color w:val="FFFFFF" w:themeColor="background1"/>
        <w:sz w:val="18"/>
      </w:rPr>
      <w:fldChar w:fldCharType="begin"/>
    </w:r>
    <w:r w:rsidRPr="00C44941">
      <w:rPr>
        <w:color w:val="FFFFFF" w:themeColor="background1"/>
        <w:sz w:val="18"/>
      </w:rPr>
      <w:instrText xml:space="preserve"> FILENAME   \* MERGEFORMAT </w:instrText>
    </w:r>
    <w:r w:rsidRPr="00C44941">
      <w:rPr>
        <w:color w:val="FFFFFF" w:themeColor="background1"/>
        <w:sz w:val="18"/>
      </w:rPr>
      <w:fldChar w:fldCharType="separate"/>
    </w:r>
    <w:r w:rsidR="0020101E">
      <w:rPr>
        <w:noProof/>
        <w:color w:val="FFFFFF" w:themeColor="background1"/>
        <w:sz w:val="18"/>
      </w:rPr>
      <w:t>doc_409_How to access evidence in LOGIQC for Practices with the Accreditation Module_v3</w:t>
    </w:r>
    <w:r w:rsidRPr="00C44941">
      <w:rPr>
        <w:color w:val="FFFFFF" w:themeColor="background1"/>
        <w:sz w:val="18"/>
      </w:rPr>
      <w:fldChar w:fldCharType="end"/>
    </w:r>
    <w:r w:rsidR="0020101E">
      <w:rPr>
        <w:color w:val="FFFFFF" w:themeColor="background1"/>
        <w:sz w:val="18"/>
      </w:rPr>
      <w:t xml:space="preserve">                   </w:t>
    </w:r>
    <w:r w:rsidR="00C82FC7">
      <w:rPr>
        <w:color w:val="FFFFFF" w:themeColor="background1"/>
        <w:sz w:val="18"/>
      </w:rPr>
      <w:t xml:space="preserve">   </w:t>
    </w:r>
    <w:r w:rsidRPr="00C44941">
      <w:rPr>
        <w:color w:val="FFFFFF" w:themeColor="background1"/>
        <w:sz w:val="18"/>
      </w:rPr>
      <w:t xml:space="preserve">logiqc.com.au </w:t>
    </w:r>
    <w:r w:rsidRPr="00C44941">
      <w:rPr>
        <w:color w:val="FFFFFF" w:themeColor="background1"/>
        <w:sz w:val="18"/>
      </w:rPr>
      <w:tab/>
      <w:t xml:space="preserve">Page </w:t>
    </w:r>
    <w:r w:rsidRPr="00C44941">
      <w:rPr>
        <w:color w:val="FFFFFF" w:themeColor="background1"/>
        <w:sz w:val="18"/>
      </w:rPr>
      <w:fldChar w:fldCharType="begin"/>
    </w:r>
    <w:r w:rsidRPr="00C44941">
      <w:rPr>
        <w:color w:val="FFFFFF" w:themeColor="background1"/>
        <w:sz w:val="18"/>
      </w:rPr>
      <w:instrText xml:space="preserve"> PAGE   \* MERGEFORMAT </w:instrText>
    </w:r>
    <w:r w:rsidRPr="00C44941">
      <w:rPr>
        <w:color w:val="FFFFFF" w:themeColor="background1"/>
        <w:sz w:val="18"/>
      </w:rPr>
      <w:fldChar w:fldCharType="separate"/>
    </w:r>
    <w:r w:rsidR="00643E80">
      <w:rPr>
        <w:noProof/>
        <w:color w:val="FFFFFF" w:themeColor="background1"/>
        <w:sz w:val="18"/>
      </w:rPr>
      <w:t>1</w:t>
    </w:r>
    <w:r w:rsidRPr="00C44941">
      <w:rPr>
        <w:color w:val="FFFFFF" w:themeColor="background1"/>
        <w:sz w:val="18"/>
      </w:rPr>
      <w:fldChar w:fldCharType="end"/>
    </w:r>
    <w:r w:rsidRPr="00C44941">
      <w:rPr>
        <w:color w:val="FFFFFF" w:themeColor="background1"/>
        <w:sz w:val="18"/>
      </w:rPr>
      <w:t xml:space="preserve"> of </w:t>
    </w:r>
    <w:r w:rsidRPr="00C44941">
      <w:rPr>
        <w:color w:val="FFFFFF" w:themeColor="background1"/>
        <w:sz w:val="18"/>
      </w:rPr>
      <w:fldChar w:fldCharType="begin"/>
    </w:r>
    <w:r w:rsidRPr="00C44941">
      <w:rPr>
        <w:color w:val="FFFFFF" w:themeColor="background1"/>
        <w:sz w:val="18"/>
      </w:rPr>
      <w:instrText xml:space="preserve"> NUMPAGES   \* MERGEFORMAT </w:instrText>
    </w:r>
    <w:r w:rsidRPr="00C44941">
      <w:rPr>
        <w:color w:val="FFFFFF" w:themeColor="background1"/>
        <w:sz w:val="18"/>
      </w:rPr>
      <w:fldChar w:fldCharType="separate"/>
    </w:r>
    <w:r w:rsidR="00643E80">
      <w:rPr>
        <w:noProof/>
        <w:color w:val="FFFFFF" w:themeColor="background1"/>
        <w:sz w:val="18"/>
      </w:rPr>
      <w:t>7</w:t>
    </w:r>
    <w:r w:rsidRPr="00C44941">
      <w:rPr>
        <w:color w:val="FFFFFF" w:themeColor="background1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BBB4" w14:textId="77777777" w:rsidR="0080396D" w:rsidRPr="009C4303" w:rsidRDefault="0080396D" w:rsidP="002A6EF1">
    <w:pPr>
      <w:pStyle w:val="Footer"/>
      <w:tabs>
        <w:tab w:val="clear" w:pos="4513"/>
        <w:tab w:val="clear" w:pos="9026"/>
        <w:tab w:val="center" w:pos="5103"/>
        <w:tab w:val="right" w:pos="10035"/>
      </w:tabs>
      <w:spacing w:before="120"/>
      <w:rPr>
        <w:color w:val="FFFFFF" w:themeColor="background1"/>
        <w:sz w:val="18"/>
      </w:rPr>
    </w:pPr>
    <w:r>
      <w:rPr>
        <w:noProof/>
        <w:color w:val="FFFFFF" w:themeColor="background1"/>
        <w:sz w:val="18"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BEEF61" wp14:editId="03F2249F">
              <wp:simplePos x="0" y="0"/>
              <wp:positionH relativeFrom="column">
                <wp:posOffset>-441589</wp:posOffset>
              </wp:positionH>
              <wp:positionV relativeFrom="paragraph">
                <wp:posOffset>335</wp:posOffset>
              </wp:positionV>
              <wp:extent cx="7551684" cy="465827"/>
              <wp:effectExtent l="0" t="0" r="0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684" cy="465827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69FD9" id="Rectangle 33" o:spid="_x0000_s1026" style="position:absolute;margin-left:-34.75pt;margin-top:.05pt;width:594.6pt;height:36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" fillcolor="#5a5a5a [2109]" stroked="f" strokeweight="1pt"/>
          </w:pict>
        </mc:Fallback>
      </mc:AlternateContent>
    </w:r>
    <w:r w:rsidRPr="00C44941">
      <w:rPr>
        <w:color w:val="FFFFFF" w:themeColor="background1"/>
        <w:sz w:val="18"/>
      </w:rPr>
      <w:fldChar w:fldCharType="begin"/>
    </w:r>
    <w:r w:rsidRPr="00C44941">
      <w:rPr>
        <w:color w:val="FFFFFF" w:themeColor="background1"/>
        <w:sz w:val="18"/>
      </w:rPr>
      <w:instrText xml:space="preserve"> FILENAME   \* MERGEFORMAT </w:instrText>
    </w:r>
    <w:r w:rsidRPr="00C44941">
      <w:rPr>
        <w:color w:val="FFFFFF" w:themeColor="background1"/>
        <w:sz w:val="18"/>
      </w:rPr>
      <w:fldChar w:fldCharType="separate"/>
    </w:r>
    <w:r>
      <w:rPr>
        <w:noProof/>
        <w:color w:val="FFFFFF" w:themeColor="background1"/>
        <w:sz w:val="18"/>
      </w:rPr>
      <w:t>doc_322_LOGIQC QMS NZ Assessors manual_v0.1</w:t>
    </w:r>
    <w:r w:rsidRPr="00C44941">
      <w:rPr>
        <w:color w:val="FFFFFF" w:themeColor="background1"/>
        <w:sz w:val="18"/>
      </w:rPr>
      <w:fldChar w:fldCharType="end"/>
    </w:r>
    <w:r w:rsidRPr="00C44941">
      <w:rPr>
        <w:color w:val="FFFFFF" w:themeColor="background1"/>
        <w:sz w:val="18"/>
      </w:rPr>
      <w:tab/>
      <w:t xml:space="preserve">logiqc.com.au </w:t>
    </w:r>
    <w:r w:rsidRPr="00C44941">
      <w:rPr>
        <w:color w:val="FFFFFF" w:themeColor="background1"/>
        <w:sz w:val="18"/>
      </w:rPr>
      <w:tab/>
      <w:t xml:space="preserve">Page </w:t>
    </w:r>
    <w:r w:rsidRPr="00C44941">
      <w:rPr>
        <w:color w:val="FFFFFF" w:themeColor="background1"/>
        <w:sz w:val="18"/>
      </w:rPr>
      <w:fldChar w:fldCharType="begin"/>
    </w:r>
    <w:r w:rsidRPr="00C44941">
      <w:rPr>
        <w:color w:val="FFFFFF" w:themeColor="background1"/>
        <w:sz w:val="18"/>
      </w:rPr>
      <w:instrText xml:space="preserve"> PAGE   \* MERGEFORMAT </w:instrText>
    </w:r>
    <w:r w:rsidRPr="00C44941">
      <w:rPr>
        <w:color w:val="FFFFFF" w:themeColor="background1"/>
        <w:sz w:val="18"/>
      </w:rPr>
      <w:fldChar w:fldCharType="separate"/>
    </w:r>
    <w:r>
      <w:rPr>
        <w:noProof/>
        <w:color w:val="FFFFFF" w:themeColor="background1"/>
        <w:sz w:val="18"/>
      </w:rPr>
      <w:t>2</w:t>
    </w:r>
    <w:r w:rsidRPr="00C44941">
      <w:rPr>
        <w:color w:val="FFFFFF" w:themeColor="background1"/>
        <w:sz w:val="18"/>
      </w:rPr>
      <w:fldChar w:fldCharType="end"/>
    </w:r>
    <w:r w:rsidRPr="00C44941">
      <w:rPr>
        <w:color w:val="FFFFFF" w:themeColor="background1"/>
        <w:sz w:val="18"/>
      </w:rPr>
      <w:t xml:space="preserve"> of </w:t>
    </w:r>
    <w:r w:rsidRPr="00C44941">
      <w:rPr>
        <w:color w:val="FFFFFF" w:themeColor="background1"/>
        <w:sz w:val="18"/>
      </w:rPr>
      <w:fldChar w:fldCharType="begin"/>
    </w:r>
    <w:r w:rsidRPr="00C44941">
      <w:rPr>
        <w:color w:val="FFFFFF" w:themeColor="background1"/>
        <w:sz w:val="18"/>
      </w:rPr>
      <w:instrText xml:space="preserve"> NUMPAGES   \* MERGEFORMAT </w:instrText>
    </w:r>
    <w:r w:rsidRPr="00C44941">
      <w:rPr>
        <w:color w:val="FFFFFF" w:themeColor="background1"/>
        <w:sz w:val="18"/>
      </w:rPr>
      <w:fldChar w:fldCharType="separate"/>
    </w:r>
    <w:r>
      <w:rPr>
        <w:noProof/>
        <w:color w:val="FFFFFF" w:themeColor="background1"/>
        <w:sz w:val="18"/>
      </w:rPr>
      <w:t>12</w:t>
    </w:r>
    <w:r w:rsidRPr="00C44941">
      <w:rPr>
        <w:color w:val="FFFFFF" w:themeColor="background1"/>
        <w:sz w:val="18"/>
      </w:rPr>
      <w:fldChar w:fldCharType="end"/>
    </w:r>
  </w:p>
  <w:p w14:paraId="64A6ECB6" w14:textId="77777777" w:rsidR="0080396D" w:rsidRDefault="008039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A003D" w14:textId="32995B2F" w:rsidR="0080396D" w:rsidRPr="009C4303" w:rsidRDefault="0080396D" w:rsidP="0020101E">
    <w:pPr>
      <w:pStyle w:val="Footer"/>
      <w:tabs>
        <w:tab w:val="clear" w:pos="4513"/>
        <w:tab w:val="clear" w:pos="9026"/>
        <w:tab w:val="center" w:pos="7655"/>
        <w:tab w:val="right" w:pos="15162"/>
      </w:tabs>
      <w:spacing w:before="120"/>
      <w:ind w:right="-449"/>
      <w:rPr>
        <w:color w:val="FFFFFF" w:themeColor="background1"/>
        <w:sz w:val="18"/>
      </w:rPr>
    </w:pPr>
    <w:r>
      <w:rPr>
        <w:noProof/>
        <w:color w:val="FFFFFF" w:themeColor="background1"/>
        <w:sz w:val="18"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62EEAC0" wp14:editId="70F07C0C">
              <wp:simplePos x="0" y="0"/>
              <wp:positionH relativeFrom="page">
                <wp:posOffset>3910</wp:posOffset>
              </wp:positionH>
              <wp:positionV relativeFrom="paragraph">
                <wp:posOffset>2540</wp:posOffset>
              </wp:positionV>
              <wp:extent cx="10670651" cy="465827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0651" cy="465827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4345002" id="Rectangle 11" o:spid="_x0000_s1026" style="position:absolute;margin-left:.3pt;margin-top:.2pt;width:840.2pt;height:36.7pt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" fillcolor="#5a5a5a [2109]" stroked="f" strokeweight="1pt">
              <w10:wrap anchorx="page"/>
            </v:rect>
          </w:pict>
        </mc:Fallback>
      </mc:AlternateContent>
    </w:r>
    <w:r w:rsidRPr="00C44941">
      <w:rPr>
        <w:color w:val="FFFFFF" w:themeColor="background1"/>
        <w:sz w:val="18"/>
      </w:rPr>
      <w:fldChar w:fldCharType="begin"/>
    </w:r>
    <w:r w:rsidRPr="00C44941">
      <w:rPr>
        <w:color w:val="FFFFFF" w:themeColor="background1"/>
        <w:sz w:val="18"/>
      </w:rPr>
      <w:instrText xml:space="preserve"> FILENAME   \* MERGEFORMAT </w:instrText>
    </w:r>
    <w:r w:rsidRPr="00C44941">
      <w:rPr>
        <w:color w:val="FFFFFF" w:themeColor="background1"/>
        <w:sz w:val="18"/>
      </w:rPr>
      <w:fldChar w:fldCharType="separate"/>
    </w:r>
    <w:r w:rsidR="0020101E">
      <w:rPr>
        <w:noProof/>
        <w:color w:val="FFFFFF" w:themeColor="background1"/>
        <w:sz w:val="18"/>
      </w:rPr>
      <w:t>doc_409_How to access evidence in LOGIQC for Practices with the Accreditation Module_v3</w:t>
    </w:r>
    <w:r w:rsidRPr="00C44941">
      <w:rPr>
        <w:color w:val="FFFFFF" w:themeColor="background1"/>
        <w:sz w:val="18"/>
      </w:rPr>
      <w:fldChar w:fldCharType="end"/>
    </w:r>
    <w:r w:rsidRPr="00C44941">
      <w:rPr>
        <w:color w:val="FFFFFF" w:themeColor="background1"/>
        <w:sz w:val="18"/>
      </w:rPr>
      <w:tab/>
    </w:r>
    <w:r w:rsidR="0020101E">
      <w:rPr>
        <w:color w:val="FFFFFF" w:themeColor="background1"/>
        <w:sz w:val="18"/>
      </w:rPr>
      <w:t xml:space="preserve">                                                                 </w:t>
    </w:r>
    <w:bookmarkStart w:id="10" w:name="_GoBack"/>
    <w:bookmarkEnd w:id="10"/>
    <w:r w:rsidRPr="00C44941">
      <w:rPr>
        <w:color w:val="FFFFFF" w:themeColor="background1"/>
        <w:sz w:val="18"/>
      </w:rPr>
      <w:t xml:space="preserve">Page </w:t>
    </w:r>
    <w:r w:rsidRPr="00C44941">
      <w:rPr>
        <w:color w:val="FFFFFF" w:themeColor="background1"/>
        <w:sz w:val="18"/>
      </w:rPr>
      <w:fldChar w:fldCharType="begin"/>
    </w:r>
    <w:r w:rsidRPr="00C44941">
      <w:rPr>
        <w:color w:val="FFFFFF" w:themeColor="background1"/>
        <w:sz w:val="18"/>
      </w:rPr>
      <w:instrText xml:space="preserve"> PAGE   \* MERGEFORMAT </w:instrText>
    </w:r>
    <w:r w:rsidRPr="00C44941">
      <w:rPr>
        <w:color w:val="FFFFFF" w:themeColor="background1"/>
        <w:sz w:val="18"/>
      </w:rPr>
      <w:fldChar w:fldCharType="separate"/>
    </w:r>
    <w:r w:rsidR="00643E80">
      <w:rPr>
        <w:noProof/>
        <w:color w:val="FFFFFF" w:themeColor="background1"/>
        <w:sz w:val="18"/>
      </w:rPr>
      <w:t>6</w:t>
    </w:r>
    <w:r w:rsidRPr="00C44941">
      <w:rPr>
        <w:color w:val="FFFFFF" w:themeColor="background1"/>
        <w:sz w:val="18"/>
      </w:rPr>
      <w:fldChar w:fldCharType="end"/>
    </w:r>
    <w:r w:rsidRPr="00C44941">
      <w:rPr>
        <w:color w:val="FFFFFF" w:themeColor="background1"/>
        <w:sz w:val="18"/>
      </w:rPr>
      <w:t xml:space="preserve"> of </w:t>
    </w:r>
    <w:r w:rsidRPr="00C44941">
      <w:rPr>
        <w:color w:val="FFFFFF" w:themeColor="background1"/>
        <w:sz w:val="18"/>
      </w:rPr>
      <w:fldChar w:fldCharType="begin"/>
    </w:r>
    <w:r w:rsidRPr="00C44941">
      <w:rPr>
        <w:color w:val="FFFFFF" w:themeColor="background1"/>
        <w:sz w:val="18"/>
      </w:rPr>
      <w:instrText xml:space="preserve"> NUMPAGES   \* MERGEFORMAT </w:instrText>
    </w:r>
    <w:r w:rsidRPr="00C44941">
      <w:rPr>
        <w:color w:val="FFFFFF" w:themeColor="background1"/>
        <w:sz w:val="18"/>
      </w:rPr>
      <w:fldChar w:fldCharType="separate"/>
    </w:r>
    <w:r w:rsidR="00643E80">
      <w:rPr>
        <w:noProof/>
        <w:color w:val="FFFFFF" w:themeColor="background1"/>
        <w:sz w:val="18"/>
      </w:rPr>
      <w:t>7</w:t>
    </w:r>
    <w:r w:rsidRPr="00C44941">
      <w:rPr>
        <w:color w:val="FFFFFF" w:themeColor="background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9DEEA" w14:textId="77777777" w:rsidR="0025178A" w:rsidRDefault="0025178A" w:rsidP="007007B8">
      <w:pPr>
        <w:spacing w:after="0" w:line="240" w:lineRule="auto"/>
      </w:pPr>
      <w:r>
        <w:separator/>
      </w:r>
    </w:p>
  </w:footnote>
  <w:footnote w:type="continuationSeparator" w:id="0">
    <w:p w14:paraId="57D1DA48" w14:textId="77777777" w:rsidR="0025178A" w:rsidRDefault="0025178A" w:rsidP="0070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0351" w14:textId="77777777" w:rsidR="00C316D9" w:rsidRDefault="00C31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EC8F" w14:textId="60245DAD" w:rsidR="0080396D" w:rsidRDefault="0080396D" w:rsidP="00B2589E">
    <w:pPr>
      <w:pStyle w:val="Header"/>
      <w:ind w:left="-709"/>
    </w:pPr>
    <w:r>
      <w:rPr>
        <w:noProof/>
        <w:lang w:val="en-US"/>
      </w:rPr>
      <w:drawing>
        <wp:inline distT="0" distB="0" distL="0" distR="0" wp14:anchorId="65317FB1" wp14:editId="36FC8A8F">
          <wp:extent cx="7560859" cy="1498026"/>
          <wp:effectExtent l="0" t="0" r="254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05" r="-1"/>
                  <a:stretch/>
                </pic:blipFill>
                <pic:spPr bwMode="auto">
                  <a:xfrm>
                    <a:off x="0" y="0"/>
                    <a:ext cx="7690189" cy="1523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D60D" w14:textId="77777777" w:rsidR="00C316D9" w:rsidRDefault="00C316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3F2" w14:textId="77777777" w:rsidR="0080396D" w:rsidRDefault="0080396D" w:rsidP="00B2589E">
    <w:pPr>
      <w:pStyle w:val="Header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3AD11" wp14:editId="1FC3660E">
              <wp:simplePos x="0" y="0"/>
              <wp:positionH relativeFrom="column">
                <wp:posOffset>16510</wp:posOffset>
              </wp:positionH>
              <wp:positionV relativeFrom="paragraph">
                <wp:posOffset>904875</wp:posOffset>
              </wp:positionV>
              <wp:extent cx="6191250" cy="0"/>
              <wp:effectExtent l="0" t="0" r="0" b="0"/>
              <wp:wrapNone/>
              <wp:docPr id="36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8CB70E" id="Straight Connector 3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71.25pt" to="488.8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" strokecolor="#7f7f7f [16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C3E"/>
    <w:multiLevelType w:val="hybridMultilevel"/>
    <w:tmpl w:val="61346B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716C8"/>
    <w:multiLevelType w:val="hybridMultilevel"/>
    <w:tmpl w:val="076274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011D8"/>
    <w:multiLevelType w:val="hybridMultilevel"/>
    <w:tmpl w:val="9CCA5AF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06C46"/>
    <w:multiLevelType w:val="hybridMultilevel"/>
    <w:tmpl w:val="76062FC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0621CF"/>
    <w:multiLevelType w:val="hybridMultilevel"/>
    <w:tmpl w:val="FFB2F8D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F1D03"/>
    <w:multiLevelType w:val="hybridMultilevel"/>
    <w:tmpl w:val="EE2EFDD4"/>
    <w:lvl w:ilvl="0" w:tplc="F0B29C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84C41"/>
    <w:multiLevelType w:val="hybridMultilevel"/>
    <w:tmpl w:val="AAAAD3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4F4E36"/>
    <w:multiLevelType w:val="hybridMultilevel"/>
    <w:tmpl w:val="9CCA5AF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BE1BCF"/>
    <w:multiLevelType w:val="hybridMultilevel"/>
    <w:tmpl w:val="6688D0F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D45C53"/>
    <w:multiLevelType w:val="hybridMultilevel"/>
    <w:tmpl w:val="29B464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D41D67"/>
    <w:multiLevelType w:val="hybridMultilevel"/>
    <w:tmpl w:val="EB98CBCE"/>
    <w:lvl w:ilvl="0" w:tplc="E9D2CF1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421E4E"/>
    <w:multiLevelType w:val="hybridMultilevel"/>
    <w:tmpl w:val="7B40D8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00A4C"/>
    <w:multiLevelType w:val="hybridMultilevel"/>
    <w:tmpl w:val="524CA74E"/>
    <w:lvl w:ilvl="0" w:tplc="012A24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A6127"/>
    <w:multiLevelType w:val="hybridMultilevel"/>
    <w:tmpl w:val="7AE40B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B5F5C"/>
    <w:multiLevelType w:val="hybridMultilevel"/>
    <w:tmpl w:val="9CCA5AF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3C20A2"/>
    <w:multiLevelType w:val="hybridMultilevel"/>
    <w:tmpl w:val="3D0C61B0"/>
    <w:lvl w:ilvl="0" w:tplc="E9D2CF1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611331"/>
    <w:multiLevelType w:val="hybridMultilevel"/>
    <w:tmpl w:val="F5C664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686C35"/>
    <w:multiLevelType w:val="hybridMultilevel"/>
    <w:tmpl w:val="D9B46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236DDE"/>
    <w:multiLevelType w:val="hybridMultilevel"/>
    <w:tmpl w:val="3D0C61B0"/>
    <w:lvl w:ilvl="0" w:tplc="E9D2CF1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602862"/>
    <w:multiLevelType w:val="hybridMultilevel"/>
    <w:tmpl w:val="9CCA5AF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D67AAF"/>
    <w:multiLevelType w:val="hybridMultilevel"/>
    <w:tmpl w:val="076274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29193E"/>
    <w:multiLevelType w:val="hybridMultilevel"/>
    <w:tmpl w:val="F050E1AA"/>
    <w:lvl w:ilvl="0" w:tplc="D700B3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572F1"/>
    <w:multiLevelType w:val="hybridMultilevel"/>
    <w:tmpl w:val="80907A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7202AF"/>
    <w:multiLevelType w:val="hybridMultilevel"/>
    <w:tmpl w:val="4E6A88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936A8F"/>
    <w:multiLevelType w:val="hybridMultilevel"/>
    <w:tmpl w:val="1D3872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E4420A"/>
    <w:multiLevelType w:val="hybridMultilevel"/>
    <w:tmpl w:val="CF1C1B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4C572C"/>
    <w:multiLevelType w:val="hybridMultilevel"/>
    <w:tmpl w:val="FE9E8996"/>
    <w:lvl w:ilvl="0" w:tplc="FEDC04E8">
      <w:start w:val="1"/>
      <w:numFmt w:val="bullet"/>
      <w:lvlText w:val=""/>
      <w:lvlJc w:val="left"/>
      <w:pPr>
        <w:ind w:left="-2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C925158"/>
    <w:multiLevelType w:val="hybridMultilevel"/>
    <w:tmpl w:val="80907A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565473"/>
    <w:multiLevelType w:val="hybridMultilevel"/>
    <w:tmpl w:val="AAAAD3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ED7EEA"/>
    <w:multiLevelType w:val="hybridMultilevel"/>
    <w:tmpl w:val="4B684BEC"/>
    <w:lvl w:ilvl="0" w:tplc="FEDC0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2953FA"/>
    <w:multiLevelType w:val="hybridMultilevel"/>
    <w:tmpl w:val="D1F8C328"/>
    <w:lvl w:ilvl="0" w:tplc="F0B29C9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CC13B8"/>
    <w:multiLevelType w:val="hybridMultilevel"/>
    <w:tmpl w:val="50E247F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5E0B0B2E"/>
    <w:multiLevelType w:val="hybridMultilevel"/>
    <w:tmpl w:val="40A6AE5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8030F7"/>
    <w:multiLevelType w:val="hybridMultilevel"/>
    <w:tmpl w:val="80907A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2273FE"/>
    <w:multiLevelType w:val="hybridMultilevel"/>
    <w:tmpl w:val="79563D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0873BC"/>
    <w:multiLevelType w:val="hybridMultilevel"/>
    <w:tmpl w:val="636EEC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3A6DB2"/>
    <w:multiLevelType w:val="hybridMultilevel"/>
    <w:tmpl w:val="1C38E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1228BD"/>
    <w:multiLevelType w:val="hybridMultilevel"/>
    <w:tmpl w:val="41E0C03E"/>
    <w:lvl w:ilvl="0" w:tplc="41EA28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6D6D3414"/>
    <w:multiLevelType w:val="hybridMultilevel"/>
    <w:tmpl w:val="80907A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970E1D"/>
    <w:multiLevelType w:val="hybridMultilevel"/>
    <w:tmpl w:val="EB98CBCE"/>
    <w:lvl w:ilvl="0" w:tplc="E9D2CF1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8C5280"/>
    <w:multiLevelType w:val="hybridMultilevel"/>
    <w:tmpl w:val="6C2424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DF2BBA"/>
    <w:multiLevelType w:val="hybridMultilevel"/>
    <w:tmpl w:val="5DFE56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FE4782"/>
    <w:multiLevelType w:val="hybridMultilevel"/>
    <w:tmpl w:val="EB98CBCE"/>
    <w:lvl w:ilvl="0" w:tplc="E9D2CF1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AC6E38"/>
    <w:multiLevelType w:val="hybridMultilevel"/>
    <w:tmpl w:val="80907A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2C27F3"/>
    <w:multiLevelType w:val="hybridMultilevel"/>
    <w:tmpl w:val="043CD346"/>
    <w:lvl w:ilvl="0" w:tplc="AA42265E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82051B"/>
    <w:multiLevelType w:val="hybridMultilevel"/>
    <w:tmpl w:val="AF78392E"/>
    <w:lvl w:ilvl="0" w:tplc="5DF4E938">
      <w:numFmt w:val="bullet"/>
      <w:lvlText w:val="•"/>
      <w:lvlJc w:val="left"/>
      <w:pPr>
        <w:ind w:left="3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6" w15:restartNumberingAfterBreak="0">
    <w:nsid w:val="7D743003"/>
    <w:multiLevelType w:val="hybridMultilevel"/>
    <w:tmpl w:val="045226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3"/>
  </w:num>
  <w:num w:numId="3">
    <w:abstractNumId w:val="36"/>
  </w:num>
  <w:num w:numId="4">
    <w:abstractNumId w:val="11"/>
  </w:num>
  <w:num w:numId="5">
    <w:abstractNumId w:val="29"/>
  </w:num>
  <w:num w:numId="6">
    <w:abstractNumId w:val="26"/>
  </w:num>
  <w:num w:numId="7">
    <w:abstractNumId w:val="31"/>
  </w:num>
  <w:num w:numId="8">
    <w:abstractNumId w:val="45"/>
  </w:num>
  <w:num w:numId="9">
    <w:abstractNumId w:val="37"/>
  </w:num>
  <w:num w:numId="10">
    <w:abstractNumId w:val="28"/>
  </w:num>
  <w:num w:numId="11">
    <w:abstractNumId w:val="20"/>
  </w:num>
  <w:num w:numId="12">
    <w:abstractNumId w:val="0"/>
  </w:num>
  <w:num w:numId="13">
    <w:abstractNumId w:val="1"/>
  </w:num>
  <w:num w:numId="14">
    <w:abstractNumId w:val="6"/>
  </w:num>
  <w:num w:numId="15">
    <w:abstractNumId w:val="24"/>
  </w:num>
  <w:num w:numId="16">
    <w:abstractNumId w:val="13"/>
  </w:num>
  <w:num w:numId="17">
    <w:abstractNumId w:val="44"/>
  </w:num>
  <w:num w:numId="18">
    <w:abstractNumId w:val="16"/>
  </w:num>
  <w:num w:numId="19">
    <w:abstractNumId w:val="9"/>
  </w:num>
  <w:num w:numId="20">
    <w:abstractNumId w:val="25"/>
  </w:num>
  <w:num w:numId="21">
    <w:abstractNumId w:val="46"/>
  </w:num>
  <w:num w:numId="22">
    <w:abstractNumId w:val="21"/>
  </w:num>
  <w:num w:numId="23">
    <w:abstractNumId w:val="8"/>
  </w:num>
  <w:num w:numId="24">
    <w:abstractNumId w:val="41"/>
  </w:num>
  <w:num w:numId="25">
    <w:abstractNumId w:val="18"/>
  </w:num>
  <w:num w:numId="26">
    <w:abstractNumId w:val="10"/>
  </w:num>
  <w:num w:numId="27">
    <w:abstractNumId w:val="39"/>
  </w:num>
  <w:num w:numId="28">
    <w:abstractNumId w:val="17"/>
  </w:num>
  <w:num w:numId="29">
    <w:abstractNumId w:val="42"/>
  </w:num>
  <w:num w:numId="30">
    <w:abstractNumId w:val="32"/>
  </w:num>
  <w:num w:numId="31">
    <w:abstractNumId w:val="3"/>
  </w:num>
  <w:num w:numId="32">
    <w:abstractNumId w:val="15"/>
  </w:num>
  <w:num w:numId="33">
    <w:abstractNumId w:val="35"/>
  </w:num>
  <w:num w:numId="34">
    <w:abstractNumId w:val="34"/>
  </w:num>
  <w:num w:numId="35">
    <w:abstractNumId w:val="40"/>
  </w:num>
  <w:num w:numId="36">
    <w:abstractNumId w:val="5"/>
  </w:num>
  <w:num w:numId="37">
    <w:abstractNumId w:val="30"/>
  </w:num>
  <w:num w:numId="38">
    <w:abstractNumId w:val="38"/>
  </w:num>
  <w:num w:numId="39">
    <w:abstractNumId w:val="44"/>
  </w:num>
  <w:num w:numId="40">
    <w:abstractNumId w:val="4"/>
  </w:num>
  <w:num w:numId="41">
    <w:abstractNumId w:val="43"/>
  </w:num>
  <w:num w:numId="42">
    <w:abstractNumId w:val="27"/>
  </w:num>
  <w:num w:numId="43">
    <w:abstractNumId w:val="44"/>
  </w:num>
  <w:num w:numId="44">
    <w:abstractNumId w:val="22"/>
  </w:num>
  <w:num w:numId="45">
    <w:abstractNumId w:val="33"/>
  </w:num>
  <w:num w:numId="46">
    <w:abstractNumId w:val="7"/>
  </w:num>
  <w:num w:numId="47">
    <w:abstractNumId w:val="19"/>
  </w:num>
  <w:num w:numId="48">
    <w:abstractNumId w:val="1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B8"/>
    <w:rsid w:val="000176A3"/>
    <w:rsid w:val="00034170"/>
    <w:rsid w:val="000459D2"/>
    <w:rsid w:val="00051418"/>
    <w:rsid w:val="00057FB1"/>
    <w:rsid w:val="00061740"/>
    <w:rsid w:val="0006510C"/>
    <w:rsid w:val="000721C8"/>
    <w:rsid w:val="00097E0E"/>
    <w:rsid w:val="000A2BF3"/>
    <w:rsid w:val="000C4902"/>
    <w:rsid w:val="000D5BF7"/>
    <w:rsid w:val="000E1765"/>
    <w:rsid w:val="000F5F8B"/>
    <w:rsid w:val="000F7805"/>
    <w:rsid w:val="00113ED4"/>
    <w:rsid w:val="001263AC"/>
    <w:rsid w:val="001512E3"/>
    <w:rsid w:val="00157A19"/>
    <w:rsid w:val="001626F1"/>
    <w:rsid w:val="00165058"/>
    <w:rsid w:val="001877D3"/>
    <w:rsid w:val="001930CA"/>
    <w:rsid w:val="001A0C45"/>
    <w:rsid w:val="001B2690"/>
    <w:rsid w:val="001C4D38"/>
    <w:rsid w:val="001C7339"/>
    <w:rsid w:val="001E085F"/>
    <w:rsid w:val="0020101E"/>
    <w:rsid w:val="00204A93"/>
    <w:rsid w:val="00215CCD"/>
    <w:rsid w:val="00225D6E"/>
    <w:rsid w:val="00230413"/>
    <w:rsid w:val="002453C2"/>
    <w:rsid w:val="0025178A"/>
    <w:rsid w:val="00256A85"/>
    <w:rsid w:val="00261D79"/>
    <w:rsid w:val="002714E5"/>
    <w:rsid w:val="002854C1"/>
    <w:rsid w:val="002927A5"/>
    <w:rsid w:val="002A34AE"/>
    <w:rsid w:val="002A6EF1"/>
    <w:rsid w:val="002D0092"/>
    <w:rsid w:val="002E1622"/>
    <w:rsid w:val="002F1FF8"/>
    <w:rsid w:val="00307D61"/>
    <w:rsid w:val="0031243D"/>
    <w:rsid w:val="003137E6"/>
    <w:rsid w:val="003316E0"/>
    <w:rsid w:val="00353432"/>
    <w:rsid w:val="0035663B"/>
    <w:rsid w:val="003627A9"/>
    <w:rsid w:val="00366586"/>
    <w:rsid w:val="00366D1A"/>
    <w:rsid w:val="003A3918"/>
    <w:rsid w:val="003A730A"/>
    <w:rsid w:val="003B014E"/>
    <w:rsid w:val="003B4FF7"/>
    <w:rsid w:val="003F4A50"/>
    <w:rsid w:val="00427AC2"/>
    <w:rsid w:val="004412CC"/>
    <w:rsid w:val="00442003"/>
    <w:rsid w:val="004462A9"/>
    <w:rsid w:val="00460DA2"/>
    <w:rsid w:val="00470984"/>
    <w:rsid w:val="00473B9E"/>
    <w:rsid w:val="00477C66"/>
    <w:rsid w:val="00494DB8"/>
    <w:rsid w:val="00495334"/>
    <w:rsid w:val="004A4391"/>
    <w:rsid w:val="004C5884"/>
    <w:rsid w:val="005024AC"/>
    <w:rsid w:val="005116AE"/>
    <w:rsid w:val="00522ADF"/>
    <w:rsid w:val="0053758E"/>
    <w:rsid w:val="005575B9"/>
    <w:rsid w:val="00560B04"/>
    <w:rsid w:val="0056565A"/>
    <w:rsid w:val="00581954"/>
    <w:rsid w:val="00607075"/>
    <w:rsid w:val="00610FF3"/>
    <w:rsid w:val="00612084"/>
    <w:rsid w:val="00624326"/>
    <w:rsid w:val="006347DA"/>
    <w:rsid w:val="00634C7D"/>
    <w:rsid w:val="00637F24"/>
    <w:rsid w:val="0064052B"/>
    <w:rsid w:val="00640C9F"/>
    <w:rsid w:val="00643E80"/>
    <w:rsid w:val="006618B5"/>
    <w:rsid w:val="00677830"/>
    <w:rsid w:val="006A644D"/>
    <w:rsid w:val="006A6FEF"/>
    <w:rsid w:val="006B391F"/>
    <w:rsid w:val="006F64BB"/>
    <w:rsid w:val="006F72AE"/>
    <w:rsid w:val="007007B8"/>
    <w:rsid w:val="00716C8E"/>
    <w:rsid w:val="007242B2"/>
    <w:rsid w:val="007251A6"/>
    <w:rsid w:val="007319C3"/>
    <w:rsid w:val="00740626"/>
    <w:rsid w:val="00740BFE"/>
    <w:rsid w:val="00746416"/>
    <w:rsid w:val="007576FC"/>
    <w:rsid w:val="007604C3"/>
    <w:rsid w:val="00766A65"/>
    <w:rsid w:val="00774128"/>
    <w:rsid w:val="007770F2"/>
    <w:rsid w:val="00793F2C"/>
    <w:rsid w:val="007D0A36"/>
    <w:rsid w:val="007D35C0"/>
    <w:rsid w:val="007D3D67"/>
    <w:rsid w:val="007E5732"/>
    <w:rsid w:val="007F3440"/>
    <w:rsid w:val="0080396D"/>
    <w:rsid w:val="00803A5C"/>
    <w:rsid w:val="00820A59"/>
    <w:rsid w:val="00823DDA"/>
    <w:rsid w:val="00823F59"/>
    <w:rsid w:val="008271F4"/>
    <w:rsid w:val="008756C9"/>
    <w:rsid w:val="00881B26"/>
    <w:rsid w:val="00886289"/>
    <w:rsid w:val="008A4E96"/>
    <w:rsid w:val="008C1971"/>
    <w:rsid w:val="008D5C33"/>
    <w:rsid w:val="008E3D06"/>
    <w:rsid w:val="008E5776"/>
    <w:rsid w:val="008E6206"/>
    <w:rsid w:val="009004B8"/>
    <w:rsid w:val="00911189"/>
    <w:rsid w:val="009316AC"/>
    <w:rsid w:val="00931C0E"/>
    <w:rsid w:val="0093271E"/>
    <w:rsid w:val="00950B54"/>
    <w:rsid w:val="009547F1"/>
    <w:rsid w:val="00966300"/>
    <w:rsid w:val="00980B2B"/>
    <w:rsid w:val="00984F88"/>
    <w:rsid w:val="0099279C"/>
    <w:rsid w:val="009A2451"/>
    <w:rsid w:val="009B05A8"/>
    <w:rsid w:val="009C4303"/>
    <w:rsid w:val="009C738F"/>
    <w:rsid w:val="009D6267"/>
    <w:rsid w:val="00A041CC"/>
    <w:rsid w:val="00A04F74"/>
    <w:rsid w:val="00A177D4"/>
    <w:rsid w:val="00A558F2"/>
    <w:rsid w:val="00A5672B"/>
    <w:rsid w:val="00A6194A"/>
    <w:rsid w:val="00A7438B"/>
    <w:rsid w:val="00A811EE"/>
    <w:rsid w:val="00AB6FB2"/>
    <w:rsid w:val="00AC64B5"/>
    <w:rsid w:val="00AD1E8D"/>
    <w:rsid w:val="00AE1453"/>
    <w:rsid w:val="00AE45B9"/>
    <w:rsid w:val="00AE5F12"/>
    <w:rsid w:val="00AE683A"/>
    <w:rsid w:val="00B0553D"/>
    <w:rsid w:val="00B07FF5"/>
    <w:rsid w:val="00B123FF"/>
    <w:rsid w:val="00B1278B"/>
    <w:rsid w:val="00B16E3C"/>
    <w:rsid w:val="00B2589E"/>
    <w:rsid w:val="00B63BF6"/>
    <w:rsid w:val="00B66C0E"/>
    <w:rsid w:val="00B978B9"/>
    <w:rsid w:val="00BA6081"/>
    <w:rsid w:val="00C00403"/>
    <w:rsid w:val="00C02299"/>
    <w:rsid w:val="00C316D9"/>
    <w:rsid w:val="00C3271E"/>
    <w:rsid w:val="00C32F1B"/>
    <w:rsid w:val="00C33063"/>
    <w:rsid w:val="00C46892"/>
    <w:rsid w:val="00C82FC7"/>
    <w:rsid w:val="00C934C3"/>
    <w:rsid w:val="00C97B52"/>
    <w:rsid w:val="00CA26DE"/>
    <w:rsid w:val="00CB67AB"/>
    <w:rsid w:val="00CB7195"/>
    <w:rsid w:val="00CD0F90"/>
    <w:rsid w:val="00CE3C0D"/>
    <w:rsid w:val="00CF2989"/>
    <w:rsid w:val="00D12667"/>
    <w:rsid w:val="00D210C0"/>
    <w:rsid w:val="00D24194"/>
    <w:rsid w:val="00D46A4A"/>
    <w:rsid w:val="00D532B5"/>
    <w:rsid w:val="00D605A3"/>
    <w:rsid w:val="00D8007A"/>
    <w:rsid w:val="00D843E0"/>
    <w:rsid w:val="00DA58D0"/>
    <w:rsid w:val="00DB610B"/>
    <w:rsid w:val="00DD2F2A"/>
    <w:rsid w:val="00DD6AC3"/>
    <w:rsid w:val="00DF64BA"/>
    <w:rsid w:val="00E44CB5"/>
    <w:rsid w:val="00E63CCB"/>
    <w:rsid w:val="00E82B2D"/>
    <w:rsid w:val="00E90C6B"/>
    <w:rsid w:val="00EE18D9"/>
    <w:rsid w:val="00EE373D"/>
    <w:rsid w:val="00EE556E"/>
    <w:rsid w:val="00EF08F6"/>
    <w:rsid w:val="00EF76B5"/>
    <w:rsid w:val="00F27C5F"/>
    <w:rsid w:val="00F33436"/>
    <w:rsid w:val="00F57F31"/>
    <w:rsid w:val="00F86568"/>
    <w:rsid w:val="00F949A8"/>
    <w:rsid w:val="00FB0924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DD3D5"/>
  <w15:chartTrackingRefBased/>
  <w15:docId w15:val="{AC995AF9-34D3-47B3-B6E9-C01DD033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7B8"/>
    <w:pPr>
      <w:spacing w:after="200" w:line="276" w:lineRule="auto"/>
    </w:pPr>
    <w:rPr>
      <w:rFonts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8B5"/>
    <w:pPr>
      <w:spacing w:after="160" w:line="259" w:lineRule="auto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4E5"/>
    <w:pPr>
      <w:ind w:right="-318"/>
      <w:outlineLvl w:val="1"/>
    </w:pPr>
    <w:rPr>
      <w:b/>
      <w:sz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7B8"/>
  </w:style>
  <w:style w:type="paragraph" w:styleId="Footer">
    <w:name w:val="footer"/>
    <w:basedOn w:val="Normal"/>
    <w:link w:val="FooterChar"/>
    <w:uiPriority w:val="99"/>
    <w:unhideWhenUsed/>
    <w:rsid w:val="00700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7B8"/>
  </w:style>
  <w:style w:type="table" w:styleId="TableGrid">
    <w:name w:val="Table Grid"/>
    <w:basedOn w:val="TableNormal"/>
    <w:uiPriority w:val="59"/>
    <w:rsid w:val="007007B8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2B2"/>
    <w:pPr>
      <w:numPr>
        <w:numId w:val="17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7007B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2F1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18B5"/>
    <w:rPr>
      <w:rFonts w:eastAsiaTheme="minorHAnsi" w:hAnsiTheme="minorHAnsi" w:cstheme="minorBidi"/>
      <w:b/>
      <w:sz w:val="36"/>
      <w:lang w:eastAsia="en-US"/>
    </w:rPr>
  </w:style>
  <w:style w:type="character" w:styleId="Strong">
    <w:name w:val="Strong"/>
    <w:basedOn w:val="DefaultParagraphFont"/>
    <w:uiPriority w:val="22"/>
    <w:qFormat/>
    <w:rsid w:val="00740626"/>
    <w:rPr>
      <w:b/>
      <w:bCs/>
    </w:rPr>
  </w:style>
  <w:style w:type="character" w:customStyle="1" w:styleId="apple-converted-space">
    <w:name w:val="apple-converted-space"/>
    <w:basedOn w:val="DefaultParagraphFont"/>
    <w:rsid w:val="00B2589E"/>
  </w:style>
  <w:style w:type="paragraph" w:styleId="Title">
    <w:name w:val="Title"/>
    <w:basedOn w:val="Normal"/>
    <w:next w:val="Normal"/>
    <w:link w:val="TitleChar"/>
    <w:uiPriority w:val="10"/>
    <w:qFormat/>
    <w:rsid w:val="00204A93"/>
    <w:pPr>
      <w:spacing w:after="0" w:line="240" w:lineRule="auto"/>
      <w:contextualSpacing/>
    </w:pPr>
    <w:rPr>
      <w:rFonts w:eastAsiaTheme="majorEastAsia" w:cstheme="minorHAns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04A93"/>
    <w:rPr>
      <w:rFonts w:eastAsiaTheme="majorEastAsia" w:hAnsiTheme="minorHAnsi" w:cstheme="minorHAnsi"/>
      <w:spacing w:val="-10"/>
      <w:kern w:val="28"/>
      <w:sz w:val="36"/>
      <w:szCs w:val="3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B269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14E5"/>
    <w:rPr>
      <w:rFonts w:eastAsiaTheme="minorHAnsi" w:hAnsiTheme="minorHAnsi" w:cstheme="minorBidi"/>
      <w:b/>
      <w:sz w:val="21"/>
      <w:lang w:eastAsia="en-US"/>
    </w:rPr>
  </w:style>
  <w:style w:type="paragraph" w:customStyle="1" w:styleId="Body">
    <w:name w:val="Body"/>
    <w:basedOn w:val="Normal"/>
    <w:link w:val="BodyChar"/>
    <w:qFormat/>
    <w:rsid w:val="002D0092"/>
    <w:pPr>
      <w:spacing w:line="320" w:lineRule="exact"/>
    </w:pPr>
    <w:rPr>
      <w:sz w:val="21"/>
      <w:lang w:eastAsia="en-AU"/>
    </w:rPr>
  </w:style>
  <w:style w:type="character" w:customStyle="1" w:styleId="BodyChar">
    <w:name w:val="Body Char"/>
    <w:basedOn w:val="DefaultParagraphFont"/>
    <w:link w:val="Body"/>
    <w:rsid w:val="002D0092"/>
    <w:rPr>
      <w:rFonts w:eastAsiaTheme="minorHAnsi" w:hAnsiTheme="minorHAnsi" w:cstheme="minorBidi"/>
      <w:sz w:val="21"/>
    </w:rPr>
  </w:style>
  <w:style w:type="paragraph" w:customStyle="1" w:styleId="Picture">
    <w:name w:val="Picture"/>
    <w:basedOn w:val="Normal"/>
    <w:link w:val="PictureChar"/>
    <w:qFormat/>
    <w:rsid w:val="002D0092"/>
    <w:pPr>
      <w:spacing w:before="240" w:after="120" w:line="288" w:lineRule="auto"/>
      <w:ind w:left="357"/>
    </w:pPr>
    <w:rPr>
      <w:noProof/>
      <w:sz w:val="21"/>
      <w:lang w:eastAsia="en-AU"/>
    </w:rPr>
  </w:style>
  <w:style w:type="character" w:customStyle="1" w:styleId="PictureChar">
    <w:name w:val="Picture Char"/>
    <w:basedOn w:val="DefaultParagraphFont"/>
    <w:link w:val="Picture"/>
    <w:rsid w:val="002D0092"/>
    <w:rPr>
      <w:rFonts w:eastAsiaTheme="minorHAnsi" w:hAnsiTheme="minorHAnsi" w:cstheme="minorBidi"/>
      <w:noProof/>
      <w:sz w:val="21"/>
    </w:rPr>
  </w:style>
  <w:style w:type="paragraph" w:customStyle="1" w:styleId="Tablebody">
    <w:name w:val="Table body"/>
    <w:basedOn w:val="Body"/>
    <w:link w:val="TablebodyChar"/>
    <w:qFormat/>
    <w:rsid w:val="002D0092"/>
    <w:pPr>
      <w:spacing w:after="0" w:line="276" w:lineRule="auto"/>
    </w:pPr>
    <w:rPr>
      <w:sz w:val="18"/>
    </w:rPr>
  </w:style>
  <w:style w:type="character" w:customStyle="1" w:styleId="TablebodyChar">
    <w:name w:val="Table body Char"/>
    <w:basedOn w:val="BodyChar"/>
    <w:link w:val="Tablebody"/>
    <w:rsid w:val="002D0092"/>
    <w:rPr>
      <w:rFonts w:eastAsiaTheme="minorHAnsi" w:hAnsiTheme="minorHAnsi" w:cstheme="minorBidi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33"/>
    <w:rPr>
      <w:rFonts w:ascii="Segoe UI" w:eastAsiaTheme="minorHAns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194A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714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14E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logiqc.com.au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F3F9-693A-4292-BCF9-A92AB20D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Mannison</dc:creator>
  <cp:keywords/>
  <dc:description/>
  <cp:lastModifiedBy>Unna Liddy</cp:lastModifiedBy>
  <cp:revision>6</cp:revision>
  <cp:lastPrinted>2017-07-23T07:26:00Z</cp:lastPrinted>
  <dcterms:created xsi:type="dcterms:W3CDTF">2019-01-23T22:48:00Z</dcterms:created>
  <dcterms:modified xsi:type="dcterms:W3CDTF">2019-01-23T22:56:00Z</dcterms:modified>
</cp:coreProperties>
</file>