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CB4" w:rsidRDefault="00860CB4">
      <w:pPr>
        <w:spacing w:after="200"/>
        <w:rPr>
          <w:b/>
          <w:sz w:val="24"/>
          <w:szCs w:val="24"/>
        </w:rPr>
      </w:pPr>
      <w:bookmarkStart w:id="0" w:name="_Hlk504634824"/>
      <w:bookmarkStart w:id="1" w:name="_Toc453061915"/>
      <w:bookmarkStart w:id="2" w:name="_Toc433887723"/>
      <w:bookmarkStart w:id="3" w:name="_Toc433887725"/>
      <w:bookmarkStart w:id="4" w:name="_Toc433887726"/>
      <w:bookmarkEnd w:id="0"/>
    </w:p>
    <w:p w:rsidR="00283191" w:rsidRDefault="00283191">
      <w:pPr>
        <w:spacing w:after="200"/>
        <w:rPr>
          <w:b/>
          <w:sz w:val="24"/>
          <w:szCs w:val="24"/>
        </w:rPr>
      </w:pPr>
    </w:p>
    <w:p w:rsidR="00860CB4" w:rsidRPr="0017483C" w:rsidRDefault="00860CB4" w:rsidP="00860CB4">
      <w:pPr>
        <w:rPr>
          <w:b/>
          <w:noProof/>
          <w:color w:val="404040" w:themeColor="text1" w:themeTint="BF"/>
          <w:sz w:val="36"/>
          <w:lang w:eastAsia="en-AU"/>
        </w:rPr>
      </w:pPr>
    </w:p>
    <w:p w:rsidR="00860CB4" w:rsidRDefault="00860CB4" w:rsidP="00860CB4">
      <w:pPr>
        <w:rPr>
          <w:b/>
          <w:noProof/>
          <w:sz w:val="44"/>
          <w:lang w:eastAsia="en-AU"/>
        </w:rPr>
      </w:pPr>
    </w:p>
    <w:p w:rsidR="00860CB4" w:rsidRPr="00751E87" w:rsidRDefault="00860CB4" w:rsidP="00860CB4">
      <w:pPr>
        <w:rPr>
          <w:rFonts w:asciiTheme="minorHAnsi" w:hAnsiTheme="minorHAnsi" w:cstheme="minorHAnsi"/>
          <w:noProof/>
          <w:sz w:val="44"/>
          <w:lang w:eastAsia="en-AU"/>
        </w:rPr>
      </w:pPr>
    </w:p>
    <w:p w:rsidR="00860CB4" w:rsidRDefault="000302A2" w:rsidP="00860CB4">
      <w:pPr>
        <w:rPr>
          <w:rFonts w:asciiTheme="minorHAnsi" w:hAnsiTheme="minorHAnsi" w:cstheme="minorHAnsi"/>
          <w:b/>
          <w:noProof/>
          <w:sz w:val="44"/>
          <w:lang w:eastAsia="en-AU"/>
        </w:rPr>
      </w:pPr>
      <w:r>
        <w:rPr>
          <w:rFonts w:asciiTheme="minorHAnsi" w:hAnsiTheme="minorHAnsi" w:cstheme="minorHAnsi"/>
          <w:b/>
          <w:noProof/>
          <w:sz w:val="44"/>
          <w:lang w:eastAsia="en-AU"/>
        </w:rPr>
        <w:t xml:space="preserve">LOGIQC </w:t>
      </w:r>
      <w:r w:rsidR="00BA62FE">
        <w:rPr>
          <w:rFonts w:asciiTheme="minorHAnsi" w:hAnsiTheme="minorHAnsi" w:cstheme="minorHAnsi"/>
          <w:b/>
          <w:noProof/>
          <w:sz w:val="44"/>
          <w:lang w:eastAsia="en-AU"/>
        </w:rPr>
        <w:t>RISK</w:t>
      </w:r>
      <w:r w:rsidR="00FF61EE" w:rsidRPr="00751E87">
        <w:rPr>
          <w:rFonts w:asciiTheme="minorHAnsi" w:hAnsiTheme="minorHAnsi" w:cstheme="minorHAnsi"/>
          <w:b/>
          <w:noProof/>
          <w:sz w:val="44"/>
          <w:lang w:eastAsia="en-AU"/>
        </w:rPr>
        <w:t xml:space="preserve"> </w:t>
      </w:r>
      <w:r w:rsidR="00CF39C6">
        <w:rPr>
          <w:rFonts w:asciiTheme="minorHAnsi" w:hAnsiTheme="minorHAnsi" w:cstheme="minorHAnsi"/>
          <w:b/>
          <w:noProof/>
          <w:sz w:val="44"/>
          <w:lang w:eastAsia="en-AU"/>
        </w:rPr>
        <w:t xml:space="preserve">MODULE </w:t>
      </w:r>
      <w:r w:rsidR="00982E27">
        <w:rPr>
          <w:rFonts w:asciiTheme="minorHAnsi" w:hAnsiTheme="minorHAnsi" w:cstheme="minorHAnsi"/>
          <w:b/>
          <w:noProof/>
          <w:sz w:val="44"/>
          <w:lang w:eastAsia="en-AU"/>
        </w:rPr>
        <w:t xml:space="preserve">TRAINING </w:t>
      </w:r>
      <w:r w:rsidR="00CF39C6">
        <w:rPr>
          <w:rFonts w:asciiTheme="minorHAnsi" w:hAnsiTheme="minorHAnsi" w:cstheme="minorHAnsi"/>
          <w:b/>
          <w:noProof/>
          <w:sz w:val="44"/>
          <w:lang w:eastAsia="en-AU"/>
        </w:rPr>
        <w:t>WORKBOOK</w:t>
      </w:r>
      <w:r w:rsidR="00AE6432">
        <w:rPr>
          <w:rFonts w:asciiTheme="minorHAnsi" w:hAnsiTheme="minorHAnsi" w:cstheme="minorHAnsi"/>
          <w:b/>
          <w:noProof/>
          <w:sz w:val="44"/>
          <w:lang w:eastAsia="en-AU"/>
        </w:rPr>
        <w:t xml:space="preserve"> </w:t>
      </w:r>
    </w:p>
    <w:p w:rsidR="00DB5CE5" w:rsidRPr="00751E87" w:rsidRDefault="00DB5CE5" w:rsidP="00860CB4">
      <w:pPr>
        <w:rPr>
          <w:rFonts w:asciiTheme="minorHAnsi" w:hAnsiTheme="minorHAnsi" w:cstheme="minorHAnsi"/>
          <w:noProof/>
          <w:lang w:eastAsia="en-AU"/>
        </w:rPr>
      </w:pPr>
    </w:p>
    <w:p w:rsidR="00860CB4" w:rsidRPr="00EC7D94" w:rsidRDefault="00860CB4" w:rsidP="00EC7D94">
      <w:pPr>
        <w:rPr>
          <w:rFonts w:asciiTheme="minorHAnsi" w:hAnsiTheme="minorHAnsi" w:cstheme="minorHAnsi"/>
          <w:noProof/>
          <w:lang w:eastAsia="en-AU"/>
        </w:rPr>
      </w:pPr>
      <w:r w:rsidRPr="00EC7D94">
        <w:rPr>
          <w:rFonts w:asciiTheme="minorHAnsi" w:hAnsiTheme="minorHAnsi" w:cstheme="minorHAnsi"/>
          <w:noProof/>
          <w:lang w:eastAsia="en-AU"/>
        </w:rPr>
        <w:t xml:space="preserve">This </w:t>
      </w:r>
      <w:r w:rsidR="00EC7D94" w:rsidRPr="00EC7D94">
        <w:rPr>
          <w:rFonts w:asciiTheme="minorHAnsi" w:hAnsiTheme="minorHAnsi" w:cstheme="minorHAnsi"/>
          <w:noProof/>
          <w:lang w:eastAsia="en-AU"/>
        </w:rPr>
        <w:t>workbook</w:t>
      </w:r>
      <w:r w:rsidR="00FF61EE" w:rsidRPr="00EC7D94">
        <w:rPr>
          <w:rFonts w:asciiTheme="minorHAnsi" w:hAnsiTheme="minorHAnsi" w:cstheme="minorHAnsi"/>
          <w:noProof/>
          <w:lang w:eastAsia="en-AU"/>
        </w:rPr>
        <w:t xml:space="preserve"> </w:t>
      </w:r>
      <w:r w:rsidRPr="00EC7D94">
        <w:rPr>
          <w:rFonts w:asciiTheme="minorHAnsi" w:hAnsiTheme="minorHAnsi" w:cstheme="minorHAnsi"/>
          <w:noProof/>
          <w:lang w:eastAsia="en-AU"/>
        </w:rPr>
        <w:t xml:space="preserve">supports the </w:t>
      </w:r>
      <w:r w:rsidR="00CF39C6">
        <w:rPr>
          <w:rFonts w:asciiTheme="minorHAnsi" w:hAnsiTheme="minorHAnsi" w:cstheme="minorHAnsi"/>
          <w:noProof/>
          <w:lang w:eastAsia="en-AU"/>
        </w:rPr>
        <w:t>onboarding and training</w:t>
      </w:r>
      <w:r w:rsidR="00EC7D94" w:rsidRPr="00EC7D94">
        <w:rPr>
          <w:rFonts w:asciiTheme="minorHAnsi" w:hAnsiTheme="minorHAnsi" w:cstheme="minorHAnsi"/>
          <w:noProof/>
          <w:lang w:eastAsia="en-AU"/>
        </w:rPr>
        <w:t xml:space="preserve"> of the LOGIQC Quality Management System Risk Module. </w:t>
      </w:r>
      <w:r w:rsidRPr="00EC7D94">
        <w:rPr>
          <w:rFonts w:asciiTheme="minorHAnsi" w:hAnsiTheme="minorHAnsi" w:cstheme="minorHAnsi"/>
          <w:noProof/>
          <w:lang w:eastAsia="en-AU"/>
        </w:rPr>
        <w:t xml:space="preserve"> </w:t>
      </w:r>
    </w:p>
    <w:p w:rsidR="00860CB4" w:rsidRPr="0042778A" w:rsidRDefault="00860CB4" w:rsidP="00860CB4">
      <w:pPr>
        <w:rPr>
          <w:noProof/>
          <w:lang w:eastAsia="en-AU"/>
        </w:rPr>
        <w:sectPr w:rsidR="00860CB4" w:rsidRPr="0042778A" w:rsidSect="00D31EE1">
          <w:headerReference w:type="even" r:id="rId8"/>
          <w:headerReference w:type="default" r:id="rId9"/>
          <w:footerReference w:type="even" r:id="rId10"/>
          <w:footerReference w:type="default" r:id="rId11"/>
          <w:headerReference w:type="first" r:id="rId12"/>
          <w:footerReference w:type="first" r:id="rId13"/>
          <w:pgSz w:w="11906" w:h="16838" w:code="9"/>
          <w:pgMar w:top="1276" w:right="1077" w:bottom="851" w:left="794" w:header="6" w:footer="335" w:gutter="0"/>
          <w:cols w:space="708"/>
          <w:titlePg/>
          <w:docGrid w:linePitch="360"/>
        </w:sectPr>
      </w:pPr>
    </w:p>
    <w:p w:rsidR="009227C1" w:rsidRPr="00CF39C6" w:rsidRDefault="00CF39C6" w:rsidP="009227C1">
      <w:pPr>
        <w:pStyle w:val="Title"/>
        <w:rPr>
          <w:sz w:val="44"/>
        </w:rPr>
      </w:pPr>
      <w:bookmarkStart w:id="5" w:name="_Toc433887736"/>
      <w:bookmarkStart w:id="6" w:name="_Toc453061927"/>
      <w:bookmarkEnd w:id="1"/>
      <w:bookmarkEnd w:id="2"/>
      <w:r w:rsidRPr="00CF39C6">
        <w:rPr>
          <w:sz w:val="44"/>
        </w:rPr>
        <w:lastRenderedPageBreak/>
        <w:t xml:space="preserve">Contents page </w:t>
      </w:r>
    </w:p>
    <w:p w:rsidR="00CF39C6" w:rsidRDefault="00CF39C6" w:rsidP="00CF39C6"/>
    <w:sdt>
      <w:sdtPr>
        <w:rPr>
          <w:rFonts w:ascii="Calibri Light" w:eastAsiaTheme="minorHAnsi" w:hAnsi="Calibri Light" w:cstheme="minorBidi"/>
          <w:color w:val="auto"/>
          <w:sz w:val="20"/>
          <w:szCs w:val="22"/>
          <w:lang w:val="en-AU"/>
        </w:rPr>
        <w:id w:val="25074339"/>
        <w:docPartObj>
          <w:docPartGallery w:val="Table of Contents"/>
          <w:docPartUnique/>
        </w:docPartObj>
      </w:sdtPr>
      <w:sdtEndPr>
        <w:rPr>
          <w:b/>
          <w:bCs/>
          <w:noProof/>
        </w:rPr>
      </w:sdtEndPr>
      <w:sdtContent>
        <w:p w:rsidR="00CF39C6" w:rsidRPr="0057208E" w:rsidRDefault="00CF39C6">
          <w:pPr>
            <w:pStyle w:val="TOCHeading"/>
            <w:rPr>
              <w:rFonts w:asciiTheme="minorHAnsi" w:hAnsiTheme="minorHAnsi" w:cstheme="minorHAnsi"/>
            </w:rPr>
          </w:pPr>
        </w:p>
        <w:p w:rsidR="003E02D9" w:rsidRDefault="00CF39C6">
          <w:pPr>
            <w:pStyle w:val="TOC2"/>
            <w:rPr>
              <w:rFonts w:eastAsiaTheme="minorEastAsia"/>
              <w:smallCaps w:val="0"/>
              <w:noProof/>
              <w:sz w:val="22"/>
              <w:szCs w:val="22"/>
              <w:lang w:eastAsia="en-AU"/>
            </w:rPr>
          </w:pPr>
          <w:r w:rsidRPr="0057208E">
            <w:rPr>
              <w:rFonts w:cstheme="minorHAnsi"/>
            </w:rPr>
            <w:fldChar w:fldCharType="begin"/>
          </w:r>
          <w:r w:rsidRPr="0057208E">
            <w:rPr>
              <w:rFonts w:cstheme="minorHAnsi"/>
            </w:rPr>
            <w:instrText xml:space="preserve"> TOC \o "1-3" \h \z \u </w:instrText>
          </w:r>
          <w:r w:rsidRPr="0057208E">
            <w:rPr>
              <w:rFonts w:cstheme="minorHAnsi"/>
            </w:rPr>
            <w:fldChar w:fldCharType="separate"/>
          </w:r>
          <w:hyperlink w:anchor="_Toc504736056" w:history="1">
            <w:r w:rsidR="003E02D9" w:rsidRPr="00913820">
              <w:rPr>
                <w:rStyle w:val="Hyperlink"/>
                <w:noProof/>
              </w:rPr>
              <w:t>1.</w:t>
            </w:r>
            <w:r w:rsidR="003E02D9">
              <w:rPr>
                <w:rFonts w:eastAsiaTheme="minorEastAsia"/>
                <w:smallCaps w:val="0"/>
                <w:noProof/>
                <w:sz w:val="22"/>
                <w:szCs w:val="22"/>
                <w:lang w:eastAsia="en-AU"/>
              </w:rPr>
              <w:tab/>
            </w:r>
            <w:r w:rsidR="003E02D9" w:rsidRPr="00913820">
              <w:rPr>
                <w:rStyle w:val="Hyperlink"/>
                <w:noProof/>
              </w:rPr>
              <w:t>Introduction</w:t>
            </w:r>
            <w:r w:rsidR="003E02D9">
              <w:rPr>
                <w:noProof/>
                <w:webHidden/>
              </w:rPr>
              <w:tab/>
            </w:r>
            <w:r w:rsidR="003E02D9">
              <w:rPr>
                <w:noProof/>
                <w:webHidden/>
              </w:rPr>
              <w:fldChar w:fldCharType="begin"/>
            </w:r>
            <w:r w:rsidR="003E02D9">
              <w:rPr>
                <w:noProof/>
                <w:webHidden/>
              </w:rPr>
              <w:instrText xml:space="preserve"> PAGEREF _Toc504736056 \h </w:instrText>
            </w:r>
            <w:r w:rsidR="003E02D9">
              <w:rPr>
                <w:noProof/>
                <w:webHidden/>
              </w:rPr>
            </w:r>
            <w:r w:rsidR="003E02D9">
              <w:rPr>
                <w:noProof/>
                <w:webHidden/>
              </w:rPr>
              <w:fldChar w:fldCharType="separate"/>
            </w:r>
            <w:r w:rsidR="003D108C">
              <w:rPr>
                <w:noProof/>
                <w:webHidden/>
              </w:rPr>
              <w:t>3</w:t>
            </w:r>
            <w:r w:rsidR="003E02D9">
              <w:rPr>
                <w:noProof/>
                <w:webHidden/>
              </w:rPr>
              <w:fldChar w:fldCharType="end"/>
            </w:r>
          </w:hyperlink>
        </w:p>
        <w:p w:rsidR="003E02D9" w:rsidRDefault="00982E27">
          <w:pPr>
            <w:pStyle w:val="TOC2"/>
            <w:rPr>
              <w:rFonts w:eastAsiaTheme="minorEastAsia"/>
              <w:smallCaps w:val="0"/>
              <w:noProof/>
              <w:sz w:val="22"/>
              <w:szCs w:val="22"/>
              <w:lang w:eastAsia="en-AU"/>
            </w:rPr>
          </w:pPr>
          <w:hyperlink w:anchor="_Toc504736057" w:history="1">
            <w:r w:rsidR="003E02D9" w:rsidRPr="00913820">
              <w:rPr>
                <w:rStyle w:val="Hyperlink"/>
                <w:noProof/>
              </w:rPr>
              <w:t>2.</w:t>
            </w:r>
            <w:r w:rsidR="003E02D9">
              <w:rPr>
                <w:rFonts w:eastAsiaTheme="minorEastAsia"/>
                <w:smallCaps w:val="0"/>
                <w:noProof/>
                <w:sz w:val="22"/>
                <w:szCs w:val="22"/>
                <w:lang w:eastAsia="en-AU"/>
              </w:rPr>
              <w:tab/>
            </w:r>
            <w:r w:rsidR="003E02D9" w:rsidRPr="00913820">
              <w:rPr>
                <w:rStyle w:val="Hyperlink"/>
                <w:noProof/>
              </w:rPr>
              <w:t>The purpose and scope of the Risk Module</w:t>
            </w:r>
            <w:r w:rsidR="003E02D9">
              <w:rPr>
                <w:noProof/>
                <w:webHidden/>
              </w:rPr>
              <w:tab/>
            </w:r>
            <w:r w:rsidR="003E02D9">
              <w:rPr>
                <w:noProof/>
                <w:webHidden/>
              </w:rPr>
              <w:fldChar w:fldCharType="begin"/>
            </w:r>
            <w:r w:rsidR="003E02D9">
              <w:rPr>
                <w:noProof/>
                <w:webHidden/>
              </w:rPr>
              <w:instrText xml:space="preserve"> PAGEREF _Toc504736057 \h </w:instrText>
            </w:r>
            <w:r w:rsidR="003E02D9">
              <w:rPr>
                <w:noProof/>
                <w:webHidden/>
              </w:rPr>
            </w:r>
            <w:r w:rsidR="003E02D9">
              <w:rPr>
                <w:noProof/>
                <w:webHidden/>
              </w:rPr>
              <w:fldChar w:fldCharType="separate"/>
            </w:r>
            <w:r w:rsidR="003D108C">
              <w:rPr>
                <w:noProof/>
                <w:webHidden/>
              </w:rPr>
              <w:t>3</w:t>
            </w:r>
            <w:r w:rsidR="003E02D9">
              <w:rPr>
                <w:noProof/>
                <w:webHidden/>
              </w:rPr>
              <w:fldChar w:fldCharType="end"/>
            </w:r>
          </w:hyperlink>
        </w:p>
        <w:p w:rsidR="003E02D9" w:rsidRPr="00FE042B" w:rsidRDefault="00982E27">
          <w:pPr>
            <w:pStyle w:val="TOC2"/>
            <w:rPr>
              <w:rFonts w:eastAsiaTheme="minorEastAsia"/>
              <w:smallCaps w:val="0"/>
              <w:noProof/>
              <w:sz w:val="22"/>
              <w:szCs w:val="22"/>
              <w:lang w:eastAsia="en-AU"/>
            </w:rPr>
          </w:pPr>
          <w:hyperlink w:anchor="_Toc504736058" w:history="1">
            <w:r w:rsidR="003E02D9" w:rsidRPr="00FE042B">
              <w:rPr>
                <w:rStyle w:val="Hyperlink"/>
                <w:noProof/>
              </w:rPr>
              <w:t>3.</w:t>
            </w:r>
            <w:r w:rsidR="003E02D9" w:rsidRPr="00FE042B">
              <w:rPr>
                <w:rFonts w:eastAsiaTheme="minorEastAsia"/>
                <w:smallCaps w:val="0"/>
                <w:noProof/>
                <w:sz w:val="22"/>
                <w:szCs w:val="22"/>
                <w:lang w:eastAsia="en-AU"/>
              </w:rPr>
              <w:tab/>
            </w:r>
            <w:r w:rsidR="003E02D9" w:rsidRPr="00FE042B">
              <w:rPr>
                <w:rStyle w:val="Hyperlink"/>
                <w:noProof/>
              </w:rPr>
              <w:t>ISO 31000 Risk Management – Principles and Guidelines</w:t>
            </w:r>
            <w:r w:rsidR="003E02D9" w:rsidRPr="00FE042B">
              <w:rPr>
                <w:noProof/>
                <w:webHidden/>
              </w:rPr>
              <w:tab/>
            </w:r>
            <w:r w:rsidR="003E02D9" w:rsidRPr="00FE042B">
              <w:rPr>
                <w:noProof/>
                <w:webHidden/>
              </w:rPr>
              <w:fldChar w:fldCharType="begin"/>
            </w:r>
            <w:r w:rsidR="003E02D9" w:rsidRPr="00FE042B">
              <w:rPr>
                <w:noProof/>
                <w:webHidden/>
              </w:rPr>
              <w:instrText xml:space="preserve"> PAGEREF _Toc504736058 \h </w:instrText>
            </w:r>
            <w:r w:rsidR="003E02D9" w:rsidRPr="00FE042B">
              <w:rPr>
                <w:noProof/>
                <w:webHidden/>
              </w:rPr>
            </w:r>
            <w:r w:rsidR="003E02D9" w:rsidRPr="00FE042B">
              <w:rPr>
                <w:noProof/>
                <w:webHidden/>
              </w:rPr>
              <w:fldChar w:fldCharType="separate"/>
            </w:r>
            <w:r w:rsidR="003D108C">
              <w:rPr>
                <w:noProof/>
                <w:webHidden/>
              </w:rPr>
              <w:t>4</w:t>
            </w:r>
            <w:r w:rsidR="003E02D9" w:rsidRPr="00FE042B">
              <w:rPr>
                <w:noProof/>
                <w:webHidden/>
              </w:rPr>
              <w:fldChar w:fldCharType="end"/>
            </w:r>
          </w:hyperlink>
        </w:p>
        <w:p w:rsidR="003E02D9" w:rsidRPr="00FE042B" w:rsidRDefault="00982E27">
          <w:pPr>
            <w:pStyle w:val="TOC2"/>
            <w:rPr>
              <w:rFonts w:eastAsiaTheme="minorEastAsia"/>
              <w:smallCaps w:val="0"/>
              <w:noProof/>
              <w:sz w:val="22"/>
              <w:szCs w:val="22"/>
              <w:lang w:eastAsia="en-AU"/>
            </w:rPr>
          </w:pPr>
          <w:hyperlink w:anchor="_Toc504736059" w:history="1">
            <w:r w:rsidR="003E02D9" w:rsidRPr="00FE042B">
              <w:rPr>
                <w:rStyle w:val="Hyperlink"/>
                <w:noProof/>
              </w:rPr>
              <w:t>4.</w:t>
            </w:r>
            <w:r w:rsidR="003E02D9" w:rsidRPr="00FE042B">
              <w:rPr>
                <w:rFonts w:eastAsiaTheme="minorEastAsia"/>
                <w:smallCaps w:val="0"/>
                <w:noProof/>
                <w:sz w:val="22"/>
                <w:szCs w:val="22"/>
                <w:lang w:eastAsia="en-AU"/>
              </w:rPr>
              <w:tab/>
            </w:r>
            <w:r w:rsidR="003E02D9" w:rsidRPr="00FE042B">
              <w:rPr>
                <w:rStyle w:val="Hyperlink"/>
                <w:noProof/>
              </w:rPr>
              <w:t>LOGIQC Risk Module – Workflow</w:t>
            </w:r>
            <w:r w:rsidR="003E02D9" w:rsidRPr="00FE042B">
              <w:rPr>
                <w:noProof/>
                <w:webHidden/>
              </w:rPr>
              <w:tab/>
            </w:r>
            <w:r w:rsidR="003E02D9" w:rsidRPr="00FE042B">
              <w:rPr>
                <w:noProof/>
                <w:webHidden/>
              </w:rPr>
              <w:fldChar w:fldCharType="begin"/>
            </w:r>
            <w:r w:rsidR="003E02D9" w:rsidRPr="00FE042B">
              <w:rPr>
                <w:noProof/>
                <w:webHidden/>
              </w:rPr>
              <w:instrText xml:space="preserve"> PAGEREF _Toc504736059 \h </w:instrText>
            </w:r>
            <w:r w:rsidR="003E02D9" w:rsidRPr="00FE042B">
              <w:rPr>
                <w:noProof/>
                <w:webHidden/>
              </w:rPr>
            </w:r>
            <w:r w:rsidR="003E02D9" w:rsidRPr="00FE042B">
              <w:rPr>
                <w:noProof/>
                <w:webHidden/>
              </w:rPr>
              <w:fldChar w:fldCharType="separate"/>
            </w:r>
            <w:r w:rsidR="003D108C">
              <w:rPr>
                <w:noProof/>
                <w:webHidden/>
              </w:rPr>
              <w:t>5</w:t>
            </w:r>
            <w:r w:rsidR="003E02D9" w:rsidRPr="00FE042B">
              <w:rPr>
                <w:noProof/>
                <w:webHidden/>
              </w:rPr>
              <w:fldChar w:fldCharType="end"/>
            </w:r>
          </w:hyperlink>
        </w:p>
        <w:p w:rsidR="003E02D9" w:rsidRDefault="00982E27">
          <w:pPr>
            <w:pStyle w:val="TOC2"/>
            <w:rPr>
              <w:rFonts w:eastAsiaTheme="minorEastAsia"/>
              <w:smallCaps w:val="0"/>
              <w:noProof/>
              <w:sz w:val="22"/>
              <w:szCs w:val="22"/>
              <w:lang w:eastAsia="en-AU"/>
            </w:rPr>
          </w:pPr>
          <w:hyperlink w:anchor="_Toc504736060" w:history="1">
            <w:r w:rsidR="003E02D9" w:rsidRPr="00913820">
              <w:rPr>
                <w:rStyle w:val="Hyperlink"/>
                <w:noProof/>
              </w:rPr>
              <w:t>5.</w:t>
            </w:r>
            <w:r w:rsidR="003E02D9">
              <w:rPr>
                <w:rFonts w:eastAsiaTheme="minorEastAsia"/>
                <w:smallCaps w:val="0"/>
                <w:noProof/>
                <w:sz w:val="22"/>
                <w:szCs w:val="22"/>
                <w:lang w:eastAsia="en-AU"/>
              </w:rPr>
              <w:tab/>
            </w:r>
            <w:r w:rsidR="003E02D9" w:rsidRPr="00913820">
              <w:rPr>
                <w:rStyle w:val="Hyperlink"/>
                <w:noProof/>
              </w:rPr>
              <w:t>How to navigate within the risk module</w:t>
            </w:r>
            <w:r w:rsidR="003E02D9">
              <w:rPr>
                <w:noProof/>
                <w:webHidden/>
              </w:rPr>
              <w:tab/>
            </w:r>
            <w:r w:rsidR="003E02D9">
              <w:rPr>
                <w:noProof/>
                <w:webHidden/>
              </w:rPr>
              <w:fldChar w:fldCharType="begin"/>
            </w:r>
            <w:r w:rsidR="003E02D9">
              <w:rPr>
                <w:noProof/>
                <w:webHidden/>
              </w:rPr>
              <w:instrText xml:space="preserve"> PAGEREF _Toc504736060 \h </w:instrText>
            </w:r>
            <w:r w:rsidR="003E02D9">
              <w:rPr>
                <w:noProof/>
                <w:webHidden/>
              </w:rPr>
            </w:r>
            <w:r w:rsidR="003E02D9">
              <w:rPr>
                <w:noProof/>
                <w:webHidden/>
              </w:rPr>
              <w:fldChar w:fldCharType="separate"/>
            </w:r>
            <w:r w:rsidR="003D108C">
              <w:rPr>
                <w:noProof/>
                <w:webHidden/>
              </w:rPr>
              <w:t>6</w:t>
            </w:r>
            <w:r w:rsidR="003E02D9">
              <w:rPr>
                <w:noProof/>
                <w:webHidden/>
              </w:rPr>
              <w:fldChar w:fldCharType="end"/>
            </w:r>
          </w:hyperlink>
        </w:p>
        <w:p w:rsidR="003E02D9" w:rsidRDefault="00982E27">
          <w:pPr>
            <w:pStyle w:val="TOC2"/>
            <w:rPr>
              <w:rFonts w:eastAsiaTheme="minorEastAsia"/>
              <w:smallCaps w:val="0"/>
              <w:noProof/>
              <w:sz w:val="22"/>
              <w:szCs w:val="22"/>
              <w:lang w:eastAsia="en-AU"/>
            </w:rPr>
          </w:pPr>
          <w:hyperlink w:anchor="_Toc504736061" w:history="1">
            <w:r w:rsidR="003E02D9" w:rsidRPr="00913820">
              <w:rPr>
                <w:rStyle w:val="Hyperlink"/>
                <w:noProof/>
              </w:rPr>
              <w:t>6.</w:t>
            </w:r>
            <w:r w:rsidR="003E02D9">
              <w:rPr>
                <w:rFonts w:eastAsiaTheme="minorEastAsia"/>
                <w:smallCaps w:val="0"/>
                <w:noProof/>
                <w:sz w:val="22"/>
                <w:szCs w:val="22"/>
                <w:lang w:eastAsia="en-AU"/>
              </w:rPr>
              <w:tab/>
            </w:r>
            <w:r w:rsidR="003E02D9" w:rsidRPr="00913820">
              <w:rPr>
                <w:rStyle w:val="Hyperlink"/>
                <w:noProof/>
              </w:rPr>
              <w:t>How to complete the Risk Details Form</w:t>
            </w:r>
            <w:r w:rsidR="003E02D9">
              <w:rPr>
                <w:noProof/>
                <w:webHidden/>
              </w:rPr>
              <w:tab/>
            </w:r>
            <w:r w:rsidR="003E02D9">
              <w:rPr>
                <w:noProof/>
                <w:webHidden/>
              </w:rPr>
              <w:fldChar w:fldCharType="begin"/>
            </w:r>
            <w:r w:rsidR="003E02D9">
              <w:rPr>
                <w:noProof/>
                <w:webHidden/>
              </w:rPr>
              <w:instrText xml:space="preserve"> PAGEREF _Toc504736061 \h </w:instrText>
            </w:r>
            <w:r w:rsidR="003E02D9">
              <w:rPr>
                <w:noProof/>
                <w:webHidden/>
              </w:rPr>
            </w:r>
            <w:r w:rsidR="003E02D9">
              <w:rPr>
                <w:noProof/>
                <w:webHidden/>
              </w:rPr>
              <w:fldChar w:fldCharType="separate"/>
            </w:r>
            <w:r w:rsidR="003D108C">
              <w:rPr>
                <w:noProof/>
                <w:webHidden/>
              </w:rPr>
              <w:t>7</w:t>
            </w:r>
            <w:r w:rsidR="003E02D9">
              <w:rPr>
                <w:noProof/>
                <w:webHidden/>
              </w:rPr>
              <w:fldChar w:fldCharType="end"/>
            </w:r>
          </w:hyperlink>
        </w:p>
        <w:p w:rsidR="003E02D9" w:rsidRDefault="00982E27">
          <w:pPr>
            <w:pStyle w:val="TOC2"/>
            <w:rPr>
              <w:rFonts w:eastAsiaTheme="minorEastAsia"/>
              <w:smallCaps w:val="0"/>
              <w:noProof/>
              <w:sz w:val="22"/>
              <w:szCs w:val="22"/>
              <w:lang w:eastAsia="en-AU"/>
            </w:rPr>
          </w:pPr>
          <w:hyperlink w:anchor="_Toc504736062" w:history="1">
            <w:r w:rsidR="003E02D9" w:rsidRPr="00913820">
              <w:rPr>
                <w:rStyle w:val="Hyperlink"/>
                <w:noProof/>
              </w:rPr>
              <w:t>7.</w:t>
            </w:r>
            <w:r w:rsidR="003E02D9">
              <w:rPr>
                <w:rFonts w:eastAsiaTheme="minorEastAsia"/>
                <w:smallCaps w:val="0"/>
                <w:noProof/>
                <w:sz w:val="22"/>
                <w:szCs w:val="22"/>
                <w:lang w:eastAsia="en-AU"/>
              </w:rPr>
              <w:tab/>
            </w:r>
            <w:r w:rsidR="003E02D9" w:rsidRPr="00913820">
              <w:rPr>
                <w:rStyle w:val="Hyperlink"/>
                <w:noProof/>
              </w:rPr>
              <w:t>Risk Treatment actions</w:t>
            </w:r>
            <w:r w:rsidR="003E02D9">
              <w:rPr>
                <w:noProof/>
                <w:webHidden/>
              </w:rPr>
              <w:tab/>
            </w:r>
            <w:r w:rsidR="003E02D9">
              <w:rPr>
                <w:noProof/>
                <w:webHidden/>
              </w:rPr>
              <w:fldChar w:fldCharType="begin"/>
            </w:r>
            <w:r w:rsidR="003E02D9">
              <w:rPr>
                <w:noProof/>
                <w:webHidden/>
              </w:rPr>
              <w:instrText xml:space="preserve"> PAGEREF _Toc504736062 \h </w:instrText>
            </w:r>
            <w:r w:rsidR="003E02D9">
              <w:rPr>
                <w:noProof/>
                <w:webHidden/>
              </w:rPr>
            </w:r>
            <w:r w:rsidR="003E02D9">
              <w:rPr>
                <w:noProof/>
                <w:webHidden/>
              </w:rPr>
              <w:fldChar w:fldCharType="separate"/>
            </w:r>
            <w:r w:rsidR="003D108C">
              <w:rPr>
                <w:noProof/>
                <w:webHidden/>
              </w:rPr>
              <w:t>10</w:t>
            </w:r>
            <w:r w:rsidR="003E02D9">
              <w:rPr>
                <w:noProof/>
                <w:webHidden/>
              </w:rPr>
              <w:fldChar w:fldCharType="end"/>
            </w:r>
          </w:hyperlink>
        </w:p>
        <w:p w:rsidR="003E02D9" w:rsidRDefault="00982E27">
          <w:pPr>
            <w:pStyle w:val="TOC2"/>
            <w:rPr>
              <w:rFonts w:eastAsiaTheme="minorEastAsia"/>
              <w:smallCaps w:val="0"/>
              <w:noProof/>
              <w:sz w:val="22"/>
              <w:szCs w:val="22"/>
              <w:lang w:eastAsia="en-AU"/>
            </w:rPr>
          </w:pPr>
          <w:hyperlink w:anchor="_Toc504736063" w:history="1">
            <w:r w:rsidR="003E02D9" w:rsidRPr="00913820">
              <w:rPr>
                <w:rStyle w:val="Hyperlink"/>
                <w:noProof/>
              </w:rPr>
              <w:t>8.</w:t>
            </w:r>
            <w:r w:rsidR="003E02D9">
              <w:rPr>
                <w:rFonts w:eastAsiaTheme="minorEastAsia"/>
                <w:smallCaps w:val="0"/>
                <w:noProof/>
                <w:sz w:val="22"/>
                <w:szCs w:val="22"/>
                <w:lang w:eastAsia="en-AU"/>
              </w:rPr>
              <w:tab/>
            </w:r>
            <w:r w:rsidR="003E02D9" w:rsidRPr="00913820">
              <w:rPr>
                <w:rStyle w:val="Hyperlink"/>
                <w:noProof/>
              </w:rPr>
              <w:t>Risk management plan</w:t>
            </w:r>
            <w:r w:rsidR="003E02D9">
              <w:rPr>
                <w:noProof/>
                <w:webHidden/>
              </w:rPr>
              <w:tab/>
            </w:r>
            <w:r w:rsidR="003E02D9">
              <w:rPr>
                <w:noProof/>
                <w:webHidden/>
              </w:rPr>
              <w:fldChar w:fldCharType="begin"/>
            </w:r>
            <w:r w:rsidR="003E02D9">
              <w:rPr>
                <w:noProof/>
                <w:webHidden/>
              </w:rPr>
              <w:instrText xml:space="preserve"> PAGEREF _Toc504736063 \h </w:instrText>
            </w:r>
            <w:r w:rsidR="003E02D9">
              <w:rPr>
                <w:noProof/>
                <w:webHidden/>
              </w:rPr>
            </w:r>
            <w:r w:rsidR="003E02D9">
              <w:rPr>
                <w:noProof/>
                <w:webHidden/>
              </w:rPr>
              <w:fldChar w:fldCharType="separate"/>
            </w:r>
            <w:r w:rsidR="003D108C">
              <w:rPr>
                <w:noProof/>
                <w:webHidden/>
              </w:rPr>
              <w:t>12</w:t>
            </w:r>
            <w:r w:rsidR="003E02D9">
              <w:rPr>
                <w:noProof/>
                <w:webHidden/>
              </w:rPr>
              <w:fldChar w:fldCharType="end"/>
            </w:r>
          </w:hyperlink>
        </w:p>
        <w:p w:rsidR="003E02D9" w:rsidRDefault="00982E27">
          <w:pPr>
            <w:pStyle w:val="TOC2"/>
            <w:rPr>
              <w:rFonts w:eastAsiaTheme="minorEastAsia"/>
              <w:smallCaps w:val="0"/>
              <w:noProof/>
              <w:sz w:val="22"/>
              <w:szCs w:val="22"/>
              <w:lang w:eastAsia="en-AU"/>
            </w:rPr>
          </w:pPr>
          <w:hyperlink w:anchor="_Toc504736064" w:history="1">
            <w:r w:rsidR="003E02D9" w:rsidRPr="00913820">
              <w:rPr>
                <w:rStyle w:val="Hyperlink"/>
                <w:noProof/>
              </w:rPr>
              <w:t>9.</w:t>
            </w:r>
            <w:r w:rsidR="003E02D9">
              <w:rPr>
                <w:rFonts w:eastAsiaTheme="minorEastAsia"/>
                <w:smallCaps w:val="0"/>
                <w:noProof/>
                <w:sz w:val="22"/>
                <w:szCs w:val="22"/>
                <w:lang w:eastAsia="en-AU"/>
              </w:rPr>
              <w:tab/>
            </w:r>
            <w:r w:rsidR="003E02D9" w:rsidRPr="00913820">
              <w:rPr>
                <w:rStyle w:val="Hyperlink"/>
                <w:noProof/>
              </w:rPr>
              <w:t>How to review an identified risk</w:t>
            </w:r>
            <w:r w:rsidR="003E02D9">
              <w:rPr>
                <w:noProof/>
                <w:webHidden/>
              </w:rPr>
              <w:tab/>
            </w:r>
            <w:r w:rsidR="003E02D9">
              <w:rPr>
                <w:noProof/>
                <w:webHidden/>
              </w:rPr>
              <w:fldChar w:fldCharType="begin"/>
            </w:r>
            <w:r w:rsidR="003E02D9">
              <w:rPr>
                <w:noProof/>
                <w:webHidden/>
              </w:rPr>
              <w:instrText xml:space="preserve"> PAGEREF _Toc504736064 \h </w:instrText>
            </w:r>
            <w:r w:rsidR="003E02D9">
              <w:rPr>
                <w:noProof/>
                <w:webHidden/>
              </w:rPr>
            </w:r>
            <w:r w:rsidR="003E02D9">
              <w:rPr>
                <w:noProof/>
                <w:webHidden/>
              </w:rPr>
              <w:fldChar w:fldCharType="separate"/>
            </w:r>
            <w:r w:rsidR="003D108C">
              <w:rPr>
                <w:noProof/>
                <w:webHidden/>
              </w:rPr>
              <w:t>13</w:t>
            </w:r>
            <w:r w:rsidR="003E02D9">
              <w:rPr>
                <w:noProof/>
                <w:webHidden/>
              </w:rPr>
              <w:fldChar w:fldCharType="end"/>
            </w:r>
          </w:hyperlink>
        </w:p>
        <w:p w:rsidR="003E02D9" w:rsidRDefault="00982E27">
          <w:pPr>
            <w:pStyle w:val="TOC2"/>
            <w:rPr>
              <w:rFonts w:eastAsiaTheme="minorEastAsia"/>
              <w:smallCaps w:val="0"/>
              <w:noProof/>
              <w:sz w:val="22"/>
              <w:szCs w:val="22"/>
              <w:lang w:eastAsia="en-AU"/>
            </w:rPr>
          </w:pPr>
          <w:hyperlink w:anchor="_Toc504736065" w:history="1">
            <w:r w:rsidR="003E02D9" w:rsidRPr="00913820">
              <w:rPr>
                <w:rStyle w:val="Hyperlink"/>
                <w:noProof/>
              </w:rPr>
              <w:t>10.</w:t>
            </w:r>
            <w:r w:rsidR="003E02D9">
              <w:rPr>
                <w:rFonts w:eastAsiaTheme="minorEastAsia"/>
                <w:smallCaps w:val="0"/>
                <w:noProof/>
                <w:sz w:val="22"/>
                <w:szCs w:val="22"/>
                <w:lang w:eastAsia="en-AU"/>
              </w:rPr>
              <w:tab/>
            </w:r>
            <w:r w:rsidR="003E02D9" w:rsidRPr="00913820">
              <w:rPr>
                <w:rStyle w:val="Hyperlink"/>
                <w:noProof/>
              </w:rPr>
              <w:t>How to manage the review of an identified risk</w:t>
            </w:r>
            <w:r w:rsidR="003E02D9">
              <w:rPr>
                <w:noProof/>
                <w:webHidden/>
              </w:rPr>
              <w:tab/>
            </w:r>
            <w:r w:rsidR="003E02D9">
              <w:rPr>
                <w:noProof/>
                <w:webHidden/>
              </w:rPr>
              <w:fldChar w:fldCharType="begin"/>
            </w:r>
            <w:r w:rsidR="003E02D9">
              <w:rPr>
                <w:noProof/>
                <w:webHidden/>
              </w:rPr>
              <w:instrText xml:space="preserve"> PAGEREF _Toc504736065 \h </w:instrText>
            </w:r>
            <w:r w:rsidR="003E02D9">
              <w:rPr>
                <w:noProof/>
                <w:webHidden/>
              </w:rPr>
            </w:r>
            <w:r w:rsidR="003E02D9">
              <w:rPr>
                <w:noProof/>
                <w:webHidden/>
              </w:rPr>
              <w:fldChar w:fldCharType="separate"/>
            </w:r>
            <w:r w:rsidR="003D108C">
              <w:rPr>
                <w:noProof/>
                <w:webHidden/>
              </w:rPr>
              <w:t>14</w:t>
            </w:r>
            <w:r w:rsidR="003E02D9">
              <w:rPr>
                <w:noProof/>
                <w:webHidden/>
              </w:rPr>
              <w:fldChar w:fldCharType="end"/>
            </w:r>
          </w:hyperlink>
        </w:p>
        <w:p w:rsidR="00CF39C6" w:rsidRDefault="00CF39C6">
          <w:r w:rsidRPr="0057208E">
            <w:rPr>
              <w:rFonts w:asciiTheme="minorHAnsi" w:hAnsiTheme="minorHAnsi" w:cstheme="minorHAnsi"/>
              <w:b/>
              <w:bCs/>
              <w:noProof/>
            </w:rPr>
            <w:fldChar w:fldCharType="end"/>
          </w:r>
        </w:p>
      </w:sdtContent>
    </w:sdt>
    <w:p w:rsidR="00CF39C6" w:rsidRDefault="00CF39C6">
      <w:pPr>
        <w:spacing w:after="200"/>
      </w:pPr>
      <w:r>
        <w:br w:type="page"/>
      </w:r>
    </w:p>
    <w:p w:rsidR="00CF39C6" w:rsidRPr="00CF39C6" w:rsidRDefault="00CF39C6" w:rsidP="00571A16">
      <w:pPr>
        <w:pStyle w:val="Heading2"/>
        <w:numPr>
          <w:ilvl w:val="0"/>
          <w:numId w:val="2"/>
        </w:numPr>
      </w:pPr>
      <w:bookmarkStart w:id="7" w:name="_Toc504736056"/>
      <w:r w:rsidRPr="00CF39C6">
        <w:lastRenderedPageBreak/>
        <w:t>Introduction</w:t>
      </w:r>
      <w:bookmarkEnd w:id="7"/>
      <w:r w:rsidRPr="00CF39C6">
        <w:t xml:space="preserve"> </w:t>
      </w:r>
    </w:p>
    <w:p w:rsidR="00F75EAB" w:rsidRDefault="00CF39C6" w:rsidP="005771D1">
      <w:r w:rsidRPr="002D4B63">
        <w:t xml:space="preserve">This </w:t>
      </w:r>
      <w:r w:rsidR="00F75EAB">
        <w:t xml:space="preserve">training workshop has been designed to provide support in the </w:t>
      </w:r>
      <w:r w:rsidRPr="002D4B63">
        <w:t xml:space="preserve">onboarding and training </w:t>
      </w:r>
      <w:r w:rsidR="00F75EAB">
        <w:t>in the use of the</w:t>
      </w:r>
      <w:r w:rsidRPr="002D4B63">
        <w:t xml:space="preserve"> LOGIQC Quality Management System Risk Module</w:t>
      </w:r>
      <w:r w:rsidR="00571A16">
        <w:t xml:space="preserve">. </w:t>
      </w:r>
    </w:p>
    <w:p w:rsidR="005771D1" w:rsidRPr="00F75EAB" w:rsidRDefault="00F75EAB" w:rsidP="005771D1">
      <w:pPr>
        <w:rPr>
          <w:b/>
        </w:rPr>
      </w:pPr>
      <w:r w:rsidRPr="00F75EAB">
        <w:rPr>
          <w:b/>
        </w:rPr>
        <w:t xml:space="preserve">Learning </w:t>
      </w:r>
      <w:r w:rsidR="002D4B63" w:rsidRPr="00F75EAB">
        <w:rPr>
          <w:b/>
        </w:rPr>
        <w:t>outcomes</w:t>
      </w:r>
      <w:r w:rsidR="005771D1" w:rsidRPr="00F75EAB">
        <w:rPr>
          <w:b/>
        </w:rPr>
        <w:t>:</w:t>
      </w:r>
    </w:p>
    <w:p w:rsidR="00571A16" w:rsidRPr="00F75EAB" w:rsidRDefault="00571A16" w:rsidP="005771D1">
      <w:pPr>
        <w:rPr>
          <w:b/>
        </w:rPr>
      </w:pPr>
      <w:r w:rsidRPr="00F75EAB">
        <w:rPr>
          <w:b/>
        </w:rPr>
        <w:t xml:space="preserve">Completion of Risk Details Form </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Understanding of purpose and scope of the Risk Register</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describe existing controls in place to </w:t>
      </w:r>
      <w:proofErr w:type="spellStart"/>
      <w:r w:rsidRPr="00571A16">
        <w:rPr>
          <w:rFonts w:cs="Calibri Light"/>
        </w:rPr>
        <w:t>managen</w:t>
      </w:r>
      <w:proofErr w:type="spellEnd"/>
      <w:r w:rsidRPr="00571A16">
        <w:rPr>
          <w:rFonts w:cs="Calibri Light"/>
        </w:rPr>
        <w:t xml:space="preserve"> an identified risk</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How to link relevant items in the QMS that currently control a risk</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How to recommend further risk mitigation action</w:t>
      </w:r>
    </w:p>
    <w:p w:rsidR="00D31EE1" w:rsidRDefault="00D31EE1" w:rsidP="00571A16">
      <w:pPr>
        <w:rPr>
          <w:b/>
        </w:rPr>
      </w:pPr>
    </w:p>
    <w:p w:rsidR="00571A16" w:rsidRPr="00F75EAB" w:rsidRDefault="00571A16" w:rsidP="00571A16">
      <w:pPr>
        <w:rPr>
          <w:rFonts w:cs="Calibri Light"/>
          <w:b/>
        </w:rPr>
      </w:pPr>
      <w:r w:rsidRPr="00F75EAB">
        <w:rPr>
          <w:b/>
        </w:rPr>
        <w:t>Managing</w:t>
      </w:r>
      <w:r w:rsidRPr="00F75EAB">
        <w:rPr>
          <w:rFonts w:cs="Calibri Light"/>
          <w:b/>
        </w:rPr>
        <w:t xml:space="preserve"> identified risks</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assess the completion of the </w:t>
      </w:r>
      <w:r w:rsidR="00A314B3">
        <w:rPr>
          <w:rFonts w:cs="Calibri Light"/>
        </w:rPr>
        <w:t>Risk Details Form</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restrict access to a </w:t>
      </w:r>
      <w:r w:rsidR="00A314B3">
        <w:rPr>
          <w:rFonts w:cs="Calibri Light"/>
        </w:rPr>
        <w:t>Risk Details Form</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manage and approve the </w:t>
      </w:r>
      <w:r w:rsidR="00A314B3">
        <w:rPr>
          <w:rFonts w:cs="Calibri Light"/>
        </w:rPr>
        <w:t>Risk Details Form</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How to review the organisation’s exposure to an identified risk</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How to bring an identified risk under review</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How to recommend risk mitigation action and close when completed</w:t>
      </w:r>
    </w:p>
    <w:p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How to generate reports from the Risk Module</w:t>
      </w:r>
    </w:p>
    <w:p w:rsidR="005771D1" w:rsidRDefault="005771D1" w:rsidP="00F11FE1">
      <w:pPr>
        <w:pStyle w:val="Body"/>
        <w:rPr>
          <w:b/>
          <w:bCs/>
        </w:rPr>
      </w:pPr>
    </w:p>
    <w:p w:rsidR="00FE042B" w:rsidRDefault="00FE042B" w:rsidP="00FE042B">
      <w:pPr>
        <w:rPr>
          <w:b/>
        </w:rPr>
      </w:pPr>
      <w:r w:rsidRPr="00FE042B">
        <w:rPr>
          <w:b/>
        </w:rPr>
        <w:t>Re</w:t>
      </w:r>
      <w:r>
        <w:rPr>
          <w:b/>
        </w:rPr>
        <w:t>la</w:t>
      </w:r>
      <w:r w:rsidRPr="00FE042B">
        <w:rPr>
          <w:b/>
        </w:rPr>
        <w:t>ted Documents</w:t>
      </w:r>
      <w:r w:rsidR="00ED6E38">
        <w:rPr>
          <w:b/>
        </w:rPr>
        <w:t xml:space="preserve"> and Resources</w:t>
      </w:r>
      <w:r w:rsidRPr="00FE042B">
        <w:rPr>
          <w:b/>
        </w:rPr>
        <w:t xml:space="preserve"> </w:t>
      </w:r>
    </w:p>
    <w:p w:rsidR="00FE042B" w:rsidRDefault="00FE042B" w:rsidP="00FE042B">
      <w:pPr>
        <w:pStyle w:val="ListParagraph"/>
        <w:numPr>
          <w:ilvl w:val="0"/>
          <w:numId w:val="4"/>
        </w:numPr>
        <w:spacing w:after="60" w:line="240" w:lineRule="auto"/>
        <w:ind w:left="357" w:hanging="357"/>
        <w:contextualSpacing w:val="0"/>
        <w:jc w:val="both"/>
        <w:rPr>
          <w:rFonts w:cs="Calibri Light"/>
        </w:rPr>
      </w:pPr>
      <w:r w:rsidRPr="00FE042B">
        <w:rPr>
          <w:rFonts w:cs="Calibri Light"/>
        </w:rPr>
        <w:t>ISO 31000 Risk Management – Principles and Guidelines</w:t>
      </w:r>
    </w:p>
    <w:p w:rsidR="009D1DA8" w:rsidRDefault="009D1DA8" w:rsidP="00FE042B">
      <w:pPr>
        <w:pStyle w:val="ListParagraph"/>
        <w:numPr>
          <w:ilvl w:val="0"/>
          <w:numId w:val="4"/>
        </w:numPr>
        <w:spacing w:after="60" w:line="240" w:lineRule="auto"/>
        <w:ind w:left="357" w:hanging="357"/>
        <w:contextualSpacing w:val="0"/>
        <w:jc w:val="both"/>
        <w:rPr>
          <w:rFonts w:cs="Calibri Light"/>
        </w:rPr>
      </w:pPr>
      <w:r>
        <w:rPr>
          <w:rFonts w:cs="Calibri Light"/>
        </w:rPr>
        <w:t>NSQHS Standards – Risk Management Approach</w:t>
      </w:r>
    </w:p>
    <w:p w:rsidR="00ED6E38" w:rsidRDefault="00ED6E38" w:rsidP="00FE042B">
      <w:pPr>
        <w:pStyle w:val="ListParagraph"/>
        <w:numPr>
          <w:ilvl w:val="0"/>
          <w:numId w:val="4"/>
        </w:numPr>
        <w:spacing w:after="60" w:line="240" w:lineRule="auto"/>
        <w:ind w:left="357" w:hanging="357"/>
        <w:contextualSpacing w:val="0"/>
        <w:jc w:val="both"/>
        <w:rPr>
          <w:rFonts w:cs="Calibri Light"/>
        </w:rPr>
      </w:pPr>
      <w:r>
        <w:rPr>
          <w:rFonts w:cs="Calibri Light"/>
        </w:rPr>
        <w:t xml:space="preserve">LOGIQC QMS Risk module build guide </w:t>
      </w:r>
    </w:p>
    <w:p w:rsidR="009D1DA8" w:rsidRPr="00FE042B" w:rsidRDefault="009D1DA8" w:rsidP="009D1DA8">
      <w:pPr>
        <w:pStyle w:val="ListParagraph"/>
        <w:spacing w:after="60" w:line="240" w:lineRule="auto"/>
        <w:ind w:left="357"/>
        <w:contextualSpacing w:val="0"/>
        <w:jc w:val="both"/>
        <w:rPr>
          <w:rFonts w:cs="Calibri Light"/>
        </w:rPr>
      </w:pPr>
    </w:p>
    <w:p w:rsidR="000A7E6D" w:rsidRDefault="00CF39C6" w:rsidP="00964B3B">
      <w:pPr>
        <w:pStyle w:val="Heading2"/>
        <w:numPr>
          <w:ilvl w:val="0"/>
          <w:numId w:val="2"/>
        </w:numPr>
      </w:pPr>
      <w:bookmarkStart w:id="8" w:name="_Toc504736057"/>
      <w:r>
        <w:t>The purpose and</w:t>
      </w:r>
      <w:r w:rsidR="002D4B63">
        <w:t xml:space="preserve"> scope </w:t>
      </w:r>
      <w:r>
        <w:t xml:space="preserve">of the </w:t>
      </w:r>
      <w:r w:rsidR="00F75EAB">
        <w:t>R</w:t>
      </w:r>
      <w:r>
        <w:t xml:space="preserve">isk </w:t>
      </w:r>
      <w:r w:rsidR="00F75EAB">
        <w:t>M</w:t>
      </w:r>
      <w:r>
        <w:t>odule</w:t>
      </w:r>
      <w:bookmarkEnd w:id="8"/>
    </w:p>
    <w:p w:rsidR="000A7E6D" w:rsidRDefault="00A8501A" w:rsidP="000D59EB">
      <w:r>
        <w:t xml:space="preserve">The </w:t>
      </w:r>
      <w:r w:rsidR="000D59EB">
        <w:t>Risk M</w:t>
      </w:r>
      <w:r>
        <w:t xml:space="preserve">odule has been developed in line with the </w:t>
      </w:r>
      <w:r w:rsidR="003A18E5">
        <w:t>international st</w:t>
      </w:r>
      <w:r>
        <w:t xml:space="preserve">andard, </w:t>
      </w:r>
      <w:r w:rsidRPr="000D59EB">
        <w:rPr>
          <w:i/>
        </w:rPr>
        <w:t>ISO 31000 Risk Management – Principles and Guidelines</w:t>
      </w:r>
      <w:r w:rsidR="00F75EAB">
        <w:rPr>
          <w:i/>
        </w:rPr>
        <w:t xml:space="preserve"> </w:t>
      </w:r>
      <w:r w:rsidR="00F75EAB">
        <w:t xml:space="preserve">and supports an integrated approach to the identification and management of risks. </w:t>
      </w:r>
      <w:r w:rsidR="000D59EB">
        <w:t xml:space="preserve"> </w:t>
      </w:r>
    </w:p>
    <w:p w:rsidR="00A8501A" w:rsidRDefault="00A8501A" w:rsidP="000D59EB">
      <w:r>
        <w:t xml:space="preserve">The scope of the module </w:t>
      </w:r>
      <w:r w:rsidR="00F75EAB">
        <w:t>includes</w:t>
      </w:r>
      <w:r>
        <w:t>:</w:t>
      </w:r>
    </w:p>
    <w:p w:rsidR="00A8501A" w:rsidRPr="005771D1" w:rsidRDefault="000A7E6D" w:rsidP="00A8501A">
      <w:pPr>
        <w:pStyle w:val="ListParagraph"/>
        <w:numPr>
          <w:ilvl w:val="0"/>
          <w:numId w:val="4"/>
        </w:numPr>
        <w:spacing w:after="60" w:line="240" w:lineRule="auto"/>
        <w:ind w:left="357" w:hanging="357"/>
        <w:contextualSpacing w:val="0"/>
        <w:jc w:val="both"/>
        <w:rPr>
          <w:rFonts w:cs="Calibri Light"/>
        </w:rPr>
      </w:pPr>
      <w:r w:rsidRPr="005771D1">
        <w:rPr>
          <w:rFonts w:cs="Calibri Light"/>
        </w:rPr>
        <w:t xml:space="preserve">linkages between the Risk Module and </w:t>
      </w:r>
      <w:r w:rsidR="00A8501A" w:rsidRPr="005771D1">
        <w:rPr>
          <w:rFonts w:cs="Calibri Light"/>
        </w:rPr>
        <w:t>ISO 31000</w:t>
      </w:r>
    </w:p>
    <w:p w:rsidR="005771D1" w:rsidRPr="005771D1" w:rsidRDefault="005771D1" w:rsidP="005771D1">
      <w:pPr>
        <w:pStyle w:val="ListParagraph"/>
        <w:numPr>
          <w:ilvl w:val="0"/>
          <w:numId w:val="4"/>
        </w:numPr>
        <w:spacing w:after="60" w:line="240" w:lineRule="auto"/>
        <w:ind w:left="357" w:hanging="357"/>
        <w:contextualSpacing w:val="0"/>
        <w:jc w:val="both"/>
        <w:rPr>
          <w:rFonts w:cs="Calibri Light"/>
        </w:rPr>
      </w:pPr>
      <w:r w:rsidRPr="005771D1">
        <w:rPr>
          <w:rFonts w:cs="Calibri Light"/>
        </w:rPr>
        <w:t>how to use the Risk Module to:</w:t>
      </w:r>
    </w:p>
    <w:p w:rsidR="005771D1" w:rsidRPr="005771D1" w:rsidRDefault="005771D1" w:rsidP="005771D1">
      <w:pPr>
        <w:pStyle w:val="ListParagraph"/>
        <w:numPr>
          <w:ilvl w:val="1"/>
          <w:numId w:val="4"/>
        </w:numPr>
        <w:spacing w:after="60" w:line="240" w:lineRule="auto"/>
        <w:contextualSpacing w:val="0"/>
        <w:jc w:val="both"/>
        <w:rPr>
          <w:rFonts w:cs="Calibri Light"/>
        </w:rPr>
      </w:pPr>
      <w:r w:rsidRPr="005771D1">
        <w:rPr>
          <w:rFonts w:cs="Calibri Light"/>
        </w:rPr>
        <w:t>Identify known risks and demonstrate existing controls</w:t>
      </w:r>
    </w:p>
    <w:p w:rsidR="005771D1" w:rsidRPr="005771D1" w:rsidRDefault="005771D1" w:rsidP="005771D1">
      <w:pPr>
        <w:pStyle w:val="ListParagraph"/>
        <w:numPr>
          <w:ilvl w:val="1"/>
          <w:numId w:val="4"/>
        </w:numPr>
        <w:spacing w:after="60" w:line="240" w:lineRule="auto"/>
        <w:contextualSpacing w:val="0"/>
        <w:jc w:val="both"/>
        <w:rPr>
          <w:rFonts w:cs="Calibri Light"/>
        </w:rPr>
      </w:pPr>
      <w:r w:rsidRPr="005771D1">
        <w:rPr>
          <w:rFonts w:cs="Calibri Light"/>
        </w:rPr>
        <w:t>Rate risks against risk/SAC levels in accordance with external agency requirements</w:t>
      </w:r>
    </w:p>
    <w:p w:rsidR="005771D1" w:rsidRPr="005771D1" w:rsidRDefault="005771D1" w:rsidP="005771D1">
      <w:pPr>
        <w:pStyle w:val="ListParagraph"/>
        <w:numPr>
          <w:ilvl w:val="1"/>
          <w:numId w:val="4"/>
        </w:numPr>
        <w:spacing w:after="60" w:line="240" w:lineRule="auto"/>
        <w:contextualSpacing w:val="0"/>
        <w:jc w:val="both"/>
        <w:rPr>
          <w:rFonts w:cs="Calibri Light"/>
        </w:rPr>
      </w:pPr>
      <w:r w:rsidRPr="005771D1">
        <w:rPr>
          <w:rFonts w:cs="Calibri Light"/>
        </w:rPr>
        <w:t>Set and track risk treatment and mitigation tasks</w:t>
      </w:r>
    </w:p>
    <w:p w:rsidR="005771D1" w:rsidRPr="005771D1" w:rsidRDefault="005771D1" w:rsidP="005771D1">
      <w:pPr>
        <w:pStyle w:val="ListParagraph"/>
        <w:numPr>
          <w:ilvl w:val="1"/>
          <w:numId w:val="4"/>
        </w:numPr>
        <w:spacing w:after="60" w:line="240" w:lineRule="auto"/>
        <w:contextualSpacing w:val="0"/>
        <w:jc w:val="both"/>
        <w:rPr>
          <w:rFonts w:cs="Calibri Light"/>
        </w:rPr>
      </w:pPr>
      <w:r w:rsidRPr="005771D1">
        <w:rPr>
          <w:rFonts w:cs="Calibri Light"/>
        </w:rPr>
        <w:t>Track and report on occurrences of risk across the business</w:t>
      </w:r>
    </w:p>
    <w:p w:rsidR="005771D1" w:rsidRPr="005771D1" w:rsidRDefault="005771D1" w:rsidP="005771D1">
      <w:pPr>
        <w:pStyle w:val="ListParagraph"/>
        <w:numPr>
          <w:ilvl w:val="0"/>
          <w:numId w:val="4"/>
        </w:numPr>
        <w:spacing w:after="60" w:line="240" w:lineRule="auto"/>
        <w:ind w:left="357" w:hanging="357"/>
        <w:contextualSpacing w:val="0"/>
        <w:jc w:val="both"/>
        <w:rPr>
          <w:rFonts w:cs="Calibri Light"/>
        </w:rPr>
      </w:pPr>
      <w:r w:rsidRPr="005771D1">
        <w:rPr>
          <w:rFonts w:cs="Calibri Light"/>
        </w:rPr>
        <w:t>range and scope of reporting from the Risk Module</w:t>
      </w:r>
    </w:p>
    <w:p w:rsidR="000D59EB" w:rsidRPr="000A7E6D" w:rsidRDefault="000D59EB" w:rsidP="005771D1">
      <w:pPr>
        <w:spacing w:after="60" w:line="240" w:lineRule="auto"/>
        <w:jc w:val="both"/>
      </w:pPr>
    </w:p>
    <w:p w:rsidR="005771D1" w:rsidRDefault="005771D1">
      <w:pPr>
        <w:spacing w:after="200"/>
        <w:rPr>
          <w:rFonts w:asciiTheme="minorHAnsi" w:eastAsiaTheme="majorEastAsia" w:hAnsiTheme="minorHAnsi" w:cstheme="majorBidi"/>
          <w:b/>
          <w:bCs/>
          <w:sz w:val="22"/>
          <w:szCs w:val="26"/>
        </w:rPr>
      </w:pPr>
      <w:r>
        <w:br w:type="page"/>
      </w:r>
    </w:p>
    <w:p w:rsidR="00CF39C6" w:rsidRPr="00CF39C6" w:rsidRDefault="000A7E6D" w:rsidP="00964B3B">
      <w:pPr>
        <w:pStyle w:val="Heading2"/>
        <w:numPr>
          <w:ilvl w:val="0"/>
          <w:numId w:val="2"/>
        </w:numPr>
      </w:pPr>
      <w:bookmarkStart w:id="9" w:name="_Toc504736058"/>
      <w:r>
        <w:lastRenderedPageBreak/>
        <w:t>ISO 31000 Risk Management – Principles and Guidelines</w:t>
      </w:r>
      <w:bookmarkEnd w:id="9"/>
      <w:r w:rsidR="00CF39C6" w:rsidRPr="00CF39C6">
        <w:t xml:space="preserve"> </w:t>
      </w:r>
    </w:p>
    <w:p w:rsidR="00CF39C6" w:rsidRPr="000A7E6D" w:rsidRDefault="00CF39C6" w:rsidP="000A7E6D">
      <w:r w:rsidRPr="006F64BB">
        <w:t xml:space="preserve">The LOGIQC risk </w:t>
      </w:r>
      <w:r>
        <w:t>module</w:t>
      </w:r>
      <w:r w:rsidR="000D59EB">
        <w:t xml:space="preserve">, which </w:t>
      </w:r>
      <w:r w:rsidRPr="006F64BB">
        <w:t>allows for organisational risks to be identified, control measures to be described, and mitigation actions to be documented</w:t>
      </w:r>
      <w:r w:rsidR="000D59EB">
        <w:t>,</w:t>
      </w:r>
      <w:r w:rsidRPr="006F64BB">
        <w:t xml:space="preserve"> has been designed in accordance with</w:t>
      </w:r>
      <w:r>
        <w:t xml:space="preserve"> </w:t>
      </w:r>
      <w:r w:rsidR="005201A4" w:rsidRPr="000D59EB">
        <w:rPr>
          <w:i/>
        </w:rPr>
        <w:t>ISO 31000 Risk Management – Principles and Guidelines</w:t>
      </w:r>
      <w:r w:rsidRPr="000A7E6D">
        <w:t>.</w:t>
      </w:r>
    </w:p>
    <w:p w:rsidR="005E18B0" w:rsidRDefault="005201A4" w:rsidP="000A7E6D">
      <w:r>
        <w:t xml:space="preserve">The </w:t>
      </w:r>
      <w:r w:rsidR="000D59EB">
        <w:t xml:space="preserve">following diagram </w:t>
      </w:r>
      <w:r w:rsidR="005E18B0">
        <w:t xml:space="preserve">outlines the risk management </w:t>
      </w:r>
      <w:r w:rsidR="000A7E6D">
        <w:t>process proscribed in ISO 31000</w:t>
      </w:r>
      <w:r w:rsidR="005E18B0">
        <w:t>.</w:t>
      </w:r>
      <w:r>
        <w:t xml:space="preserve"> </w:t>
      </w:r>
    </w:p>
    <w:p w:rsidR="005201A4" w:rsidRDefault="005201A4" w:rsidP="000A7E6D">
      <w:r>
        <w:br/>
      </w:r>
    </w:p>
    <w:p w:rsidR="005201A4" w:rsidRDefault="005201A4" w:rsidP="005201A4">
      <w:pPr>
        <w:pStyle w:val="BodyCopy"/>
        <w:spacing w:after="0"/>
        <w:jc w:val="center"/>
      </w:pPr>
      <w:r w:rsidRPr="006329CD">
        <w:rPr>
          <w:noProof/>
          <w:lang w:val="en-US" w:eastAsia="en-US"/>
        </w:rPr>
        <w:drawing>
          <wp:inline distT="0" distB="0" distL="0" distR="0" wp14:anchorId="6653707B" wp14:editId="2A0F178B">
            <wp:extent cx="4073525" cy="3952875"/>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76741" cy="3955996"/>
                    </a:xfrm>
                    <a:prstGeom prst="rect">
                      <a:avLst/>
                    </a:prstGeom>
                  </pic:spPr>
                </pic:pic>
              </a:graphicData>
            </a:graphic>
          </wp:inline>
        </w:drawing>
      </w:r>
    </w:p>
    <w:p w:rsidR="005E18B0" w:rsidRDefault="005201A4" w:rsidP="005201A4">
      <w:pPr>
        <w:pStyle w:val="BodyCopy"/>
        <w:spacing w:after="240"/>
        <w:jc w:val="center"/>
        <w:rPr>
          <w:i/>
          <w:sz w:val="18"/>
        </w:rPr>
      </w:pPr>
      <w:r w:rsidRPr="00E6425C">
        <w:rPr>
          <w:i/>
          <w:sz w:val="18"/>
        </w:rPr>
        <w:t xml:space="preserve"> </w:t>
      </w:r>
    </w:p>
    <w:p w:rsidR="005201A4" w:rsidRPr="00E6425C" w:rsidRDefault="005201A4" w:rsidP="005201A4">
      <w:pPr>
        <w:pStyle w:val="BodyCopy"/>
        <w:spacing w:after="240"/>
        <w:jc w:val="center"/>
        <w:rPr>
          <w:i/>
          <w:sz w:val="18"/>
        </w:rPr>
      </w:pPr>
      <w:r>
        <w:rPr>
          <w:i/>
          <w:sz w:val="18"/>
        </w:rPr>
        <w:t>ISO 31000 Risk Management Process</w:t>
      </w:r>
      <w:r>
        <w:rPr>
          <w:i/>
          <w:sz w:val="18"/>
        </w:rPr>
        <w:br/>
      </w:r>
    </w:p>
    <w:p w:rsidR="005201A4" w:rsidRPr="005F015D" w:rsidRDefault="005E18B0" w:rsidP="005E18B0">
      <w:r>
        <w:t>The</w:t>
      </w:r>
      <w:r w:rsidR="005201A4">
        <w:t xml:space="preserve"> </w:t>
      </w:r>
      <w:r>
        <w:t>r</w:t>
      </w:r>
      <w:r w:rsidR="005201A4">
        <w:t xml:space="preserve">isk </w:t>
      </w:r>
      <w:r>
        <w:t>m</w:t>
      </w:r>
      <w:r w:rsidR="005201A4">
        <w:t xml:space="preserve">anagement </w:t>
      </w:r>
      <w:r>
        <w:t>process is designed to support the fo</w:t>
      </w:r>
      <w:r w:rsidR="005201A4">
        <w:t xml:space="preserve">llowing outcomes: </w:t>
      </w:r>
      <w:r w:rsidR="005201A4" w:rsidRPr="005F015D">
        <w:t xml:space="preserve"> </w:t>
      </w:r>
    </w:p>
    <w:p w:rsidR="005201A4" w:rsidRPr="005F015D" w:rsidRDefault="005201A4" w:rsidP="005201A4">
      <w:pPr>
        <w:pStyle w:val="ListParagraph"/>
        <w:numPr>
          <w:ilvl w:val="0"/>
          <w:numId w:val="4"/>
        </w:numPr>
        <w:spacing w:after="60" w:line="240" w:lineRule="auto"/>
        <w:ind w:left="357" w:hanging="357"/>
        <w:contextualSpacing w:val="0"/>
        <w:jc w:val="both"/>
      </w:pPr>
      <w:r w:rsidRPr="005F015D">
        <w:t>Better identification of opportunities and threats,</w:t>
      </w:r>
    </w:p>
    <w:p w:rsidR="005201A4" w:rsidRPr="005F015D" w:rsidRDefault="005201A4" w:rsidP="005201A4">
      <w:pPr>
        <w:pStyle w:val="ListParagraph"/>
        <w:numPr>
          <w:ilvl w:val="0"/>
          <w:numId w:val="4"/>
        </w:numPr>
        <w:spacing w:after="60" w:line="240" w:lineRule="auto"/>
        <w:ind w:left="357" w:hanging="357"/>
        <w:contextualSpacing w:val="0"/>
        <w:jc w:val="both"/>
      </w:pPr>
      <w:r w:rsidRPr="005F015D">
        <w:t>Prevention of pote</w:t>
      </w:r>
      <w:r>
        <w:t>ntial risks from being realised and the r</w:t>
      </w:r>
      <w:r w:rsidRPr="005F015D">
        <w:t>eduction of the element of chance</w:t>
      </w:r>
    </w:p>
    <w:p w:rsidR="005201A4" w:rsidRPr="005F015D" w:rsidRDefault="005201A4" w:rsidP="005201A4">
      <w:pPr>
        <w:pStyle w:val="ListParagraph"/>
        <w:numPr>
          <w:ilvl w:val="0"/>
          <w:numId w:val="4"/>
        </w:numPr>
        <w:spacing w:after="60" w:line="240" w:lineRule="auto"/>
        <w:ind w:left="357" w:hanging="357"/>
        <w:contextualSpacing w:val="0"/>
        <w:jc w:val="both"/>
      </w:pPr>
      <w:r w:rsidRPr="005F015D">
        <w:t>Increased accountability and transparency for decisions</w:t>
      </w:r>
    </w:p>
    <w:p w:rsidR="005201A4" w:rsidRPr="005F015D" w:rsidRDefault="005201A4" w:rsidP="005201A4">
      <w:pPr>
        <w:pStyle w:val="ListParagraph"/>
        <w:numPr>
          <w:ilvl w:val="0"/>
          <w:numId w:val="4"/>
        </w:numPr>
        <w:spacing w:after="60" w:line="240" w:lineRule="auto"/>
        <w:ind w:left="357" w:hanging="357"/>
        <w:contextualSpacing w:val="0"/>
        <w:jc w:val="both"/>
      </w:pPr>
      <w:r w:rsidRPr="005F015D">
        <w:t>More effective allocation and use of resources</w:t>
      </w:r>
    </w:p>
    <w:p w:rsidR="005201A4" w:rsidRPr="005F015D" w:rsidRDefault="005201A4" w:rsidP="005201A4">
      <w:pPr>
        <w:pStyle w:val="ListParagraph"/>
        <w:numPr>
          <w:ilvl w:val="0"/>
          <w:numId w:val="4"/>
        </w:numPr>
        <w:spacing w:after="60" w:line="240" w:lineRule="auto"/>
        <w:ind w:left="357" w:hanging="357"/>
        <w:contextualSpacing w:val="0"/>
        <w:jc w:val="both"/>
      </w:pPr>
      <w:r w:rsidRPr="005F015D">
        <w:t>Improved incident management and reduction in the</w:t>
      </w:r>
      <w:r>
        <w:t xml:space="preserve"> </w:t>
      </w:r>
      <w:r w:rsidRPr="005F015D">
        <w:t>cost of risk, including insurance premiums</w:t>
      </w:r>
    </w:p>
    <w:p w:rsidR="005201A4" w:rsidRPr="005F015D" w:rsidRDefault="005201A4" w:rsidP="005201A4">
      <w:pPr>
        <w:pStyle w:val="ListParagraph"/>
        <w:numPr>
          <w:ilvl w:val="0"/>
          <w:numId w:val="4"/>
        </w:numPr>
        <w:spacing w:after="60" w:line="240" w:lineRule="auto"/>
        <w:ind w:left="357" w:hanging="357"/>
        <w:contextualSpacing w:val="0"/>
        <w:jc w:val="both"/>
      </w:pPr>
      <w:r w:rsidRPr="005F015D">
        <w:t>Improved stakeholder confidence and trust</w:t>
      </w:r>
    </w:p>
    <w:p w:rsidR="005201A4" w:rsidRPr="005F015D" w:rsidRDefault="005201A4" w:rsidP="005201A4">
      <w:pPr>
        <w:pStyle w:val="ListParagraph"/>
        <w:numPr>
          <w:ilvl w:val="0"/>
          <w:numId w:val="4"/>
        </w:numPr>
        <w:spacing w:after="60" w:line="240" w:lineRule="auto"/>
        <w:ind w:left="357" w:hanging="357"/>
        <w:contextualSpacing w:val="0"/>
        <w:jc w:val="both"/>
      </w:pPr>
      <w:r w:rsidRPr="005F015D">
        <w:t>Improved complian</w:t>
      </w:r>
      <w:r>
        <w:t xml:space="preserve">ce with relevant legislation and </w:t>
      </w:r>
      <w:r w:rsidRPr="005F015D">
        <w:t>accreditation processes</w:t>
      </w:r>
    </w:p>
    <w:p w:rsidR="005201A4" w:rsidRPr="005F015D" w:rsidRDefault="005201A4" w:rsidP="005201A4">
      <w:pPr>
        <w:pStyle w:val="ListParagraph"/>
        <w:numPr>
          <w:ilvl w:val="0"/>
          <w:numId w:val="4"/>
        </w:numPr>
        <w:spacing w:after="60" w:line="240" w:lineRule="auto"/>
        <w:ind w:left="357" w:hanging="357"/>
        <w:contextualSpacing w:val="0"/>
        <w:jc w:val="both"/>
      </w:pPr>
      <w:r w:rsidRPr="005F015D">
        <w:t>Proactive rather than reactive management</w:t>
      </w:r>
    </w:p>
    <w:p w:rsidR="005201A4" w:rsidRDefault="005201A4" w:rsidP="005201A4">
      <w:pPr>
        <w:pStyle w:val="ListParagraph"/>
        <w:numPr>
          <w:ilvl w:val="0"/>
          <w:numId w:val="4"/>
        </w:numPr>
        <w:spacing w:after="60" w:line="240" w:lineRule="auto"/>
        <w:ind w:left="357" w:hanging="357"/>
        <w:contextualSpacing w:val="0"/>
        <w:jc w:val="both"/>
      </w:pPr>
      <w:r w:rsidRPr="005F015D">
        <w:t>Enhanced governance</w:t>
      </w:r>
    </w:p>
    <w:p w:rsidR="005E18B0" w:rsidRDefault="005E18B0" w:rsidP="005201A4">
      <w:pPr>
        <w:spacing w:after="0" w:line="240" w:lineRule="auto"/>
      </w:pPr>
    </w:p>
    <w:p w:rsidR="005201A4" w:rsidRDefault="005771D1" w:rsidP="005771D1">
      <w:pPr>
        <w:pStyle w:val="Heading2"/>
        <w:numPr>
          <w:ilvl w:val="0"/>
          <w:numId w:val="2"/>
        </w:numPr>
      </w:pPr>
      <w:bookmarkStart w:id="10" w:name="_Toc504736059"/>
      <w:r>
        <w:lastRenderedPageBreak/>
        <w:t xml:space="preserve">LOGIQC Risk Module </w:t>
      </w:r>
      <w:r w:rsidR="00F75EAB">
        <w:t>–</w:t>
      </w:r>
      <w:r>
        <w:t xml:space="preserve"> Workflow</w:t>
      </w:r>
      <w:bookmarkEnd w:id="10"/>
    </w:p>
    <w:p w:rsidR="00F42D78" w:rsidRPr="00F42D78" w:rsidRDefault="00F42D78" w:rsidP="00F42D78">
      <w:r>
        <w:t xml:space="preserve">The diagram bellow outlines the workflow of the LOGIQC QMS Risk Module, which involves the following processes:  </w:t>
      </w:r>
    </w:p>
    <w:p w:rsidR="00F75EAB" w:rsidRDefault="00F42D78" w:rsidP="00A54B68">
      <w:pPr>
        <w:ind w:left="1134" w:hanging="1134"/>
      </w:pPr>
      <w:r w:rsidRPr="00D31EE1">
        <w:rPr>
          <w:b/>
        </w:rPr>
        <w:t>Process</w:t>
      </w:r>
      <w:r w:rsidR="00F75EAB" w:rsidRPr="00D31EE1">
        <w:rPr>
          <w:b/>
        </w:rPr>
        <w:t xml:space="preserve"> 1</w:t>
      </w:r>
      <w:r w:rsidR="00F75EAB">
        <w:tab/>
      </w:r>
      <w:r w:rsidR="00A54B68">
        <w:t xml:space="preserve">Following the identification of a risk, </w:t>
      </w:r>
      <w:r w:rsidR="00F75EAB">
        <w:t>a full description of the risk</w:t>
      </w:r>
      <w:r w:rsidR="00A54B68">
        <w:t xml:space="preserve"> is documented on the Risk Details Form (RDF)</w:t>
      </w:r>
    </w:p>
    <w:p w:rsidR="00F75EAB" w:rsidRDefault="00F42D78" w:rsidP="00A54B68">
      <w:pPr>
        <w:ind w:left="1134" w:hanging="1134"/>
      </w:pPr>
      <w:r w:rsidRPr="00D31EE1">
        <w:rPr>
          <w:b/>
        </w:rPr>
        <w:t>Process</w:t>
      </w:r>
      <w:r w:rsidR="00F75EAB" w:rsidRPr="00D31EE1">
        <w:rPr>
          <w:b/>
        </w:rPr>
        <w:t xml:space="preserve"> 2</w:t>
      </w:r>
      <w:r w:rsidR="00F75EAB">
        <w:tab/>
        <w:t>R</w:t>
      </w:r>
      <w:r w:rsidR="00A54B68">
        <w:t>DF</w:t>
      </w:r>
      <w:r w:rsidR="00F75EAB">
        <w:t xml:space="preserve"> </w:t>
      </w:r>
      <w:r w:rsidR="00A54B68">
        <w:t>is sent to</w:t>
      </w:r>
      <w:r w:rsidR="00F75EAB">
        <w:t xml:space="preserve"> the Risk Manager to </w:t>
      </w:r>
      <w:r w:rsidR="00A54B68">
        <w:t>check that</w:t>
      </w:r>
      <w:r w:rsidR="00F75EAB">
        <w:t xml:space="preserve"> the risk is fully described and</w:t>
      </w:r>
      <w:r w:rsidR="00A54B68">
        <w:t xml:space="preserve"> controlled</w:t>
      </w:r>
    </w:p>
    <w:p w:rsidR="00A54B68" w:rsidRDefault="00F42D78" w:rsidP="00A54B68">
      <w:pPr>
        <w:ind w:left="1134" w:hanging="1134"/>
      </w:pPr>
      <w:r w:rsidRPr="00D31EE1">
        <w:rPr>
          <w:b/>
        </w:rPr>
        <w:t>Process</w:t>
      </w:r>
      <w:r w:rsidR="00A54B68" w:rsidRPr="00D31EE1">
        <w:rPr>
          <w:b/>
        </w:rPr>
        <w:t xml:space="preserve"> 3</w:t>
      </w:r>
      <w:r w:rsidR="00A54B68">
        <w:tab/>
        <w:t>If approved by the Risk Manager, the RDF is sent to the Approving Office for sign off</w:t>
      </w:r>
    </w:p>
    <w:p w:rsidR="00A54B68" w:rsidRDefault="00F42D78" w:rsidP="00A54B68">
      <w:pPr>
        <w:ind w:left="1134" w:hanging="1134"/>
      </w:pPr>
      <w:r w:rsidRPr="00D31EE1">
        <w:rPr>
          <w:b/>
        </w:rPr>
        <w:t>Process</w:t>
      </w:r>
      <w:r w:rsidR="00A54B68" w:rsidRPr="00D31EE1">
        <w:rPr>
          <w:b/>
        </w:rPr>
        <w:t xml:space="preserve"> 4</w:t>
      </w:r>
      <w:r w:rsidR="00A54B68">
        <w:tab/>
      </w:r>
      <w:r w:rsidR="003355F6">
        <w:t xml:space="preserve">When the </w:t>
      </w:r>
      <w:r w:rsidR="00A54B68">
        <w:t xml:space="preserve">risk review date or </w:t>
      </w:r>
      <w:r w:rsidR="003355F6">
        <w:t xml:space="preserve">the </w:t>
      </w:r>
      <w:r w:rsidR="00A54B68">
        <w:t xml:space="preserve">Risk Occurrence Threshold </w:t>
      </w:r>
      <w:r w:rsidR="003355F6">
        <w:t xml:space="preserve">has been reached, the </w:t>
      </w:r>
      <w:r w:rsidR="00A54B68">
        <w:t xml:space="preserve">Risk Manager </w:t>
      </w:r>
      <w:r w:rsidR="003355F6">
        <w:t xml:space="preserve">will be sent a task </w:t>
      </w:r>
      <w:r w:rsidR="00A54B68">
        <w:t>to review the risk</w:t>
      </w:r>
    </w:p>
    <w:p w:rsidR="003355F6" w:rsidRDefault="00F42D78" w:rsidP="00A54B68">
      <w:pPr>
        <w:ind w:left="1134" w:hanging="1134"/>
      </w:pPr>
      <w:r w:rsidRPr="00D31EE1">
        <w:rPr>
          <w:b/>
        </w:rPr>
        <w:t>Process</w:t>
      </w:r>
      <w:r w:rsidR="00A54B68" w:rsidRPr="00D31EE1">
        <w:rPr>
          <w:b/>
        </w:rPr>
        <w:t xml:space="preserve"> 5</w:t>
      </w:r>
      <w:r w:rsidR="00A54B68">
        <w:tab/>
      </w:r>
      <w:r w:rsidR="003355F6">
        <w:t xml:space="preserve">If required, the </w:t>
      </w:r>
      <w:r w:rsidR="00A54B68">
        <w:t xml:space="preserve">Risk Manager </w:t>
      </w:r>
      <w:r w:rsidR="003355F6">
        <w:t>will push the risk into the “review” phase of the workflow. As part of the review the following processes will be undertaken:</w:t>
      </w:r>
    </w:p>
    <w:p w:rsidR="003355F6" w:rsidRDefault="003355F6" w:rsidP="003355F6">
      <w:pPr>
        <w:pStyle w:val="ListParagraph"/>
        <w:numPr>
          <w:ilvl w:val="0"/>
          <w:numId w:val="6"/>
        </w:numPr>
        <w:ind w:left="1418" w:hanging="284"/>
      </w:pPr>
      <w:r>
        <w:t>the frequency of the risk occurring will be reviewed and analysed</w:t>
      </w:r>
    </w:p>
    <w:p w:rsidR="003355F6" w:rsidRDefault="003355F6" w:rsidP="003355F6">
      <w:pPr>
        <w:pStyle w:val="ListParagraph"/>
        <w:numPr>
          <w:ilvl w:val="0"/>
          <w:numId w:val="6"/>
        </w:numPr>
        <w:ind w:left="1418" w:hanging="284"/>
      </w:pPr>
      <w:r>
        <w:t>the controls in place to manage the risk will be reviewed to ensure they remain effective and adequate</w:t>
      </w:r>
    </w:p>
    <w:p w:rsidR="003355F6" w:rsidRDefault="003355F6" w:rsidP="003355F6">
      <w:pPr>
        <w:pStyle w:val="ListParagraph"/>
        <w:numPr>
          <w:ilvl w:val="0"/>
          <w:numId w:val="6"/>
        </w:numPr>
        <w:ind w:left="1418" w:hanging="284"/>
      </w:pPr>
      <w:r>
        <w:t>mitigation action that was previously identified and tasked to be completed has been completed</w:t>
      </w:r>
    </w:p>
    <w:p w:rsidR="003355F6" w:rsidRDefault="003355F6" w:rsidP="003355F6">
      <w:pPr>
        <w:pStyle w:val="ListParagraph"/>
        <w:numPr>
          <w:ilvl w:val="0"/>
          <w:numId w:val="6"/>
        </w:numPr>
        <w:ind w:left="1418" w:hanging="284"/>
      </w:pPr>
      <w:r>
        <w:t>the frequency of the review</w:t>
      </w:r>
      <w:r w:rsidR="00F42D78">
        <w:t xml:space="preserve"> of the risk</w:t>
      </w:r>
      <w:r>
        <w:t xml:space="preserve"> is </w:t>
      </w:r>
      <w:r w:rsidR="00F42D78">
        <w:t>appropriate (Note: 31000 recommends risks are reviewed within a 12-month timeframe)</w:t>
      </w:r>
    </w:p>
    <w:p w:rsidR="003355F6" w:rsidRDefault="003355F6" w:rsidP="003355F6">
      <w:pPr>
        <w:pStyle w:val="ListParagraph"/>
        <w:numPr>
          <w:ilvl w:val="0"/>
          <w:numId w:val="6"/>
        </w:numPr>
        <w:ind w:left="1418" w:hanging="284"/>
      </w:pPr>
      <w:r>
        <w:t xml:space="preserve">the linkages </w:t>
      </w:r>
      <w:r w:rsidR="00F42D78">
        <w:t>between the risk and</w:t>
      </w:r>
      <w:r>
        <w:t xml:space="preserve"> the incident and feedback registers is appropriate and comprehensive</w:t>
      </w:r>
    </w:p>
    <w:p w:rsidR="00F42D78" w:rsidRDefault="00F42D78" w:rsidP="003355F6">
      <w:pPr>
        <w:pStyle w:val="ListParagraph"/>
        <w:numPr>
          <w:ilvl w:val="0"/>
          <w:numId w:val="6"/>
        </w:numPr>
        <w:ind w:left="1418" w:hanging="284"/>
      </w:pPr>
      <w:r>
        <w:t>where required, further mitigation action to better control the risk has been identified and added as “risk treatment” tasks</w:t>
      </w:r>
    </w:p>
    <w:p w:rsidR="00A54B68" w:rsidRDefault="00F42D78" w:rsidP="00F42D78">
      <w:pPr>
        <w:ind w:left="1134" w:hanging="1134"/>
      </w:pPr>
      <w:r w:rsidRPr="00D31EE1">
        <w:rPr>
          <w:b/>
        </w:rPr>
        <w:t>Process</w:t>
      </w:r>
      <w:r w:rsidR="00A54B68" w:rsidRPr="00D31EE1">
        <w:rPr>
          <w:b/>
        </w:rPr>
        <w:t xml:space="preserve"> 6</w:t>
      </w:r>
      <w:r w:rsidR="00A54B68">
        <w:tab/>
      </w:r>
      <w:r>
        <w:t xml:space="preserve">Workflow </w:t>
      </w:r>
      <w:r w:rsidR="00A54B68">
        <w:t>return</w:t>
      </w:r>
      <w:r>
        <w:t>s</w:t>
      </w:r>
      <w:r w:rsidR="00A54B68">
        <w:t xml:space="preserve"> to step 2 </w:t>
      </w:r>
    </w:p>
    <w:p w:rsidR="009D1DA8" w:rsidRDefault="009D1DA8" w:rsidP="00F42D78">
      <w:pPr>
        <w:ind w:left="1134" w:hanging="1134"/>
      </w:pPr>
    </w:p>
    <w:p w:rsidR="002D4B63" w:rsidRPr="007C2705" w:rsidRDefault="002D4B63" w:rsidP="002D4B63">
      <w:r>
        <w:rPr>
          <w:noProof/>
          <w:lang w:eastAsia="en-AU"/>
        </w:rPr>
        <w:drawing>
          <wp:inline distT="0" distB="0" distL="0" distR="0" wp14:anchorId="6A81E1AC" wp14:editId="13BB614C">
            <wp:extent cx="6372225" cy="8534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72225" cy="853440"/>
                    </a:xfrm>
                    <a:prstGeom prst="rect">
                      <a:avLst/>
                    </a:prstGeom>
                  </pic:spPr>
                </pic:pic>
              </a:graphicData>
            </a:graphic>
          </wp:inline>
        </w:drawing>
      </w:r>
    </w:p>
    <w:p w:rsidR="002D4B63" w:rsidRPr="001A4F43" w:rsidRDefault="002D4B63" w:rsidP="002D4B63">
      <w:pPr>
        <w:rPr>
          <w:rFonts w:eastAsiaTheme="majorEastAsia" w:cstheme="minorHAnsi"/>
          <w:b/>
          <w:sz w:val="22"/>
          <w:szCs w:val="26"/>
          <w:lang w:eastAsia="en-AU"/>
        </w:rPr>
      </w:pPr>
      <w:r>
        <w:br w:type="page"/>
      </w:r>
    </w:p>
    <w:p w:rsidR="002D4B63" w:rsidRDefault="002D4B63" w:rsidP="00964B3B">
      <w:pPr>
        <w:pStyle w:val="Heading2"/>
        <w:numPr>
          <w:ilvl w:val="0"/>
          <w:numId w:val="2"/>
        </w:numPr>
      </w:pPr>
      <w:bookmarkStart w:id="11" w:name="_Toc504736060"/>
      <w:r w:rsidRPr="002D4B63">
        <w:lastRenderedPageBreak/>
        <w:t>How to navigate within the risk module</w:t>
      </w:r>
      <w:bookmarkEnd w:id="11"/>
    </w:p>
    <w:p w:rsidR="007B7369" w:rsidRPr="007B7369" w:rsidRDefault="007B7369" w:rsidP="00964B3B">
      <w:pPr>
        <w:pStyle w:val="ListParagraph"/>
        <w:numPr>
          <w:ilvl w:val="1"/>
          <w:numId w:val="2"/>
        </w:numPr>
        <w:rPr>
          <w:b/>
        </w:rPr>
      </w:pPr>
      <w:r w:rsidRPr="007B7369">
        <w:rPr>
          <w:b/>
        </w:rPr>
        <w:t xml:space="preserve">Risk module Tabs </w:t>
      </w:r>
    </w:p>
    <w:p w:rsidR="002D4B63" w:rsidRDefault="002D4B63" w:rsidP="007B7369">
      <w:pPr>
        <w:ind w:left="360"/>
      </w:pPr>
      <w:r>
        <w:t xml:space="preserve">To access the risk module, you will need to select “risk” from the registers heading.  </w:t>
      </w:r>
    </w:p>
    <w:p w:rsidR="007B7369" w:rsidRDefault="007B7369" w:rsidP="007B7369">
      <w:pPr>
        <w:spacing w:after="0"/>
        <w:ind w:left="360"/>
      </w:pPr>
      <w:r>
        <w:t xml:space="preserve">There are 6 ‘tabs’ along the top of the risk module: </w:t>
      </w:r>
    </w:p>
    <w:p w:rsidR="007B7369" w:rsidRDefault="007B7369" w:rsidP="00964B3B">
      <w:pPr>
        <w:pStyle w:val="ListParagraph"/>
        <w:numPr>
          <w:ilvl w:val="0"/>
          <w:numId w:val="3"/>
        </w:numPr>
      </w:pPr>
      <w:r>
        <w:t xml:space="preserve">The </w:t>
      </w:r>
      <w:r w:rsidRPr="007B7369">
        <w:rPr>
          <w:b/>
        </w:rPr>
        <w:t>Identified Risk</w:t>
      </w:r>
      <w:r>
        <w:t xml:space="preserve"> tab displays the risks currently identified and approved for monitoring.</w:t>
      </w:r>
    </w:p>
    <w:p w:rsidR="007B7369" w:rsidRDefault="007B7369" w:rsidP="00964B3B">
      <w:pPr>
        <w:pStyle w:val="ListParagraph"/>
        <w:numPr>
          <w:ilvl w:val="0"/>
          <w:numId w:val="3"/>
        </w:numPr>
      </w:pPr>
      <w:r>
        <w:t xml:space="preserve">The </w:t>
      </w:r>
      <w:r w:rsidRPr="007B7369">
        <w:rPr>
          <w:b/>
        </w:rPr>
        <w:t>Closed Risk</w:t>
      </w:r>
      <w:r>
        <w:t xml:space="preserve"> tab displays risks that have been closed and are no longer current risks to monitor.</w:t>
      </w:r>
    </w:p>
    <w:p w:rsidR="007B7369" w:rsidRDefault="007B7369" w:rsidP="00964B3B">
      <w:pPr>
        <w:pStyle w:val="ListParagraph"/>
        <w:numPr>
          <w:ilvl w:val="0"/>
          <w:numId w:val="3"/>
        </w:numPr>
      </w:pPr>
      <w:r>
        <w:t xml:space="preserve">The </w:t>
      </w:r>
      <w:r w:rsidRPr="007B7369">
        <w:rPr>
          <w:b/>
        </w:rPr>
        <w:t>Risk Mitigation Actions</w:t>
      </w:r>
      <w:r>
        <w:t xml:space="preserve"> tab displays a current list of actions that are in place to mitigate risks.</w:t>
      </w:r>
    </w:p>
    <w:p w:rsidR="007B7369" w:rsidRDefault="007B7369" w:rsidP="00964B3B">
      <w:pPr>
        <w:pStyle w:val="ListParagraph"/>
        <w:numPr>
          <w:ilvl w:val="0"/>
          <w:numId w:val="3"/>
        </w:numPr>
      </w:pPr>
      <w:r>
        <w:t xml:space="preserve">The </w:t>
      </w:r>
      <w:r w:rsidRPr="007B7369">
        <w:rPr>
          <w:b/>
        </w:rPr>
        <w:t>Risk M</w:t>
      </w:r>
      <w:r>
        <w:rPr>
          <w:b/>
        </w:rPr>
        <w:t>anagement</w:t>
      </w:r>
      <w:r w:rsidRPr="007B7369">
        <w:rPr>
          <w:b/>
        </w:rPr>
        <w:t xml:space="preserve"> Plan</w:t>
      </w:r>
      <w:r>
        <w:t xml:space="preserve"> tab displays the actions from other registers that are in place to mitigate the risks.</w:t>
      </w:r>
    </w:p>
    <w:p w:rsidR="007B7369" w:rsidRDefault="007B7369" w:rsidP="00964B3B">
      <w:pPr>
        <w:pStyle w:val="ListParagraph"/>
        <w:numPr>
          <w:ilvl w:val="0"/>
          <w:numId w:val="3"/>
        </w:numPr>
      </w:pPr>
      <w:r>
        <w:t xml:space="preserve">The </w:t>
      </w:r>
      <w:r w:rsidRPr="007B7369">
        <w:rPr>
          <w:b/>
        </w:rPr>
        <w:t xml:space="preserve">Workflow </w:t>
      </w:r>
      <w:r>
        <w:t>tab displays the list of risks with information as to where in the workflow the risk is currently in and whom is allocated the task.</w:t>
      </w:r>
    </w:p>
    <w:p w:rsidR="007B7369" w:rsidRDefault="007B7369" w:rsidP="00964B3B">
      <w:pPr>
        <w:pStyle w:val="ListParagraph"/>
        <w:numPr>
          <w:ilvl w:val="0"/>
          <w:numId w:val="3"/>
        </w:numPr>
      </w:pPr>
      <w:r>
        <w:t xml:space="preserve">The </w:t>
      </w:r>
      <w:r>
        <w:rPr>
          <w:b/>
        </w:rPr>
        <w:t xml:space="preserve">Draft </w:t>
      </w:r>
      <w:r>
        <w:t xml:space="preserve">tab displays the drafted identified risks. These details forms will not generate tasks and are not part of the workflow until they are saved and moved to the Identified risk tab. </w:t>
      </w:r>
    </w:p>
    <w:p w:rsidR="00CF39C6" w:rsidRPr="00F90B32" w:rsidRDefault="007B7369" w:rsidP="00FA7513">
      <w:pPr>
        <w:spacing w:before="80" w:after="80"/>
        <w:ind w:left="360"/>
        <w:rPr>
          <w:sz w:val="22"/>
        </w:rPr>
      </w:pPr>
      <w:r>
        <w:rPr>
          <w:noProof/>
        </w:rPr>
        <w:drawing>
          <wp:inline distT="0" distB="0" distL="0" distR="0" wp14:anchorId="169063F9" wp14:editId="3C58063F">
            <wp:extent cx="6270558" cy="1297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86310" cy="1300988"/>
                    </a:xfrm>
                    <a:prstGeom prst="rect">
                      <a:avLst/>
                    </a:prstGeom>
                  </pic:spPr>
                </pic:pic>
              </a:graphicData>
            </a:graphic>
          </wp:inline>
        </w:drawing>
      </w:r>
    </w:p>
    <w:p w:rsidR="007B7369" w:rsidRDefault="007B7369" w:rsidP="007B7369">
      <w:pPr>
        <w:pStyle w:val="ListParagraph"/>
        <w:ind w:left="792"/>
        <w:rPr>
          <w:b/>
        </w:rPr>
      </w:pPr>
    </w:p>
    <w:p w:rsidR="00FC29D9" w:rsidRDefault="00FC29D9" w:rsidP="00964B3B">
      <w:pPr>
        <w:pStyle w:val="ListParagraph"/>
        <w:numPr>
          <w:ilvl w:val="1"/>
          <w:numId w:val="2"/>
        </w:numPr>
        <w:rPr>
          <w:b/>
        </w:rPr>
      </w:pPr>
      <w:r>
        <w:rPr>
          <w:b/>
        </w:rPr>
        <w:t>Navigating through the risk module</w:t>
      </w:r>
    </w:p>
    <w:p w:rsidR="00FC29D9" w:rsidRDefault="00FC29D9" w:rsidP="00FC29D9">
      <w:pPr>
        <w:ind w:left="360"/>
      </w:pPr>
      <w:r w:rsidRPr="00FC29D9">
        <w:t xml:space="preserve">The </w:t>
      </w:r>
      <w:r w:rsidRPr="00FC29D9">
        <w:rPr>
          <w:b/>
        </w:rPr>
        <w:t>search</w:t>
      </w:r>
      <w:r w:rsidRPr="00FC29D9">
        <w:t xml:space="preserve"> bar allows the user to search for risks based on the identified risk name</w:t>
      </w:r>
      <w:r w:rsidR="00FA7513">
        <w:t xml:space="preserve"> or the ID# of the risk</w:t>
      </w:r>
      <w:r w:rsidRPr="00FC29D9">
        <w:t xml:space="preserve">. </w:t>
      </w:r>
    </w:p>
    <w:p w:rsidR="00FA7513" w:rsidRDefault="00FA7513" w:rsidP="00FC29D9">
      <w:pPr>
        <w:ind w:left="360"/>
      </w:pPr>
      <w:r>
        <w:t xml:space="preserve">The risks in the register view are displayed in numerical order based on the ID# of the risk by default. The column titles allow the user to click on the title of the column to </w:t>
      </w:r>
      <w:r w:rsidRPr="00FA7513">
        <w:rPr>
          <w:b/>
        </w:rPr>
        <w:t>sort the content in alphabetical or numerical order</w:t>
      </w:r>
      <w:r>
        <w:t xml:space="preserve"> based on that column. E.g. Click on the “Identified risk” title in the second column to sort the risks in alphabetical order. Clicking again will reverse the sort order. </w:t>
      </w:r>
    </w:p>
    <w:p w:rsidR="00FA7513" w:rsidRDefault="00FA7513" w:rsidP="00FC29D9">
      <w:pPr>
        <w:ind w:left="360"/>
      </w:pPr>
      <w:r>
        <w:t xml:space="preserve">The </w:t>
      </w:r>
      <w:r w:rsidRPr="00FA7513">
        <w:rPr>
          <w:b/>
        </w:rPr>
        <w:t>column filters</w:t>
      </w:r>
      <w:r>
        <w:t xml:space="preserve"> are displayed as small blue triangles on the left hand-side of some of the register columns and enable the user </w:t>
      </w:r>
      <w:r w:rsidR="008D2416">
        <w:t xml:space="preserve">to select options from that column to be filtered. E.g. Click on the blue triangle in the “Controlled risk level” column to select one or more options from the list, then click apply. </w:t>
      </w:r>
    </w:p>
    <w:p w:rsidR="002D4B63" w:rsidRDefault="00FC29D9" w:rsidP="00236D17">
      <w:pPr>
        <w:ind w:left="360"/>
      </w:pPr>
      <w:r w:rsidRPr="00FC29D9">
        <w:t xml:space="preserve">The </w:t>
      </w:r>
      <w:r w:rsidRPr="00FC29D9">
        <w:rPr>
          <w:b/>
        </w:rPr>
        <w:t>advanced filters</w:t>
      </w:r>
      <w:r>
        <w:t xml:space="preserve"> option sits above the risk module and can be used to apply a range of filters to enable different views or ad-hoc reports based on data within the details forms of the risks. </w:t>
      </w:r>
      <w:r w:rsidR="008D2416">
        <w:t>E.g. Click on the word “Advanced filters” to display the advanced filter options. Use the drop-down menus to select one or more filters then click apply.</w:t>
      </w:r>
    </w:p>
    <w:p w:rsidR="00236D17" w:rsidRPr="00236D17" w:rsidRDefault="00236D17" w:rsidP="00236D17">
      <w:pPr>
        <w:ind w:left="360"/>
      </w:pPr>
      <w:r>
        <w:rPr>
          <w:noProof/>
        </w:rPr>
        <w:drawing>
          <wp:inline distT="0" distB="0" distL="0" distR="0" wp14:anchorId="4C82EB10" wp14:editId="5FAF4DBA">
            <wp:extent cx="6193790" cy="14141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3790" cy="1414145"/>
                    </a:xfrm>
                    <a:prstGeom prst="rect">
                      <a:avLst/>
                    </a:prstGeom>
                    <a:noFill/>
                  </pic:spPr>
                </pic:pic>
              </a:graphicData>
            </a:graphic>
          </wp:inline>
        </w:drawing>
      </w:r>
    </w:p>
    <w:p w:rsidR="00FD3628" w:rsidRDefault="00FD3628" w:rsidP="008D2416"/>
    <w:p w:rsidR="00FD3628" w:rsidRDefault="00FD3628">
      <w:pPr>
        <w:spacing w:after="200"/>
      </w:pPr>
      <w:r>
        <w:br w:type="page"/>
      </w:r>
    </w:p>
    <w:p w:rsidR="002D4B63" w:rsidRPr="002D4B63" w:rsidRDefault="002D4B63" w:rsidP="00964B3B">
      <w:pPr>
        <w:pStyle w:val="Heading2"/>
        <w:numPr>
          <w:ilvl w:val="0"/>
          <w:numId w:val="2"/>
        </w:numPr>
      </w:pPr>
      <w:bookmarkStart w:id="12" w:name="_Toc504736061"/>
      <w:r w:rsidRPr="002D4B63">
        <w:lastRenderedPageBreak/>
        <w:t xml:space="preserve">How to complete the </w:t>
      </w:r>
      <w:r w:rsidR="00A314B3">
        <w:t>Risk Details Form</w:t>
      </w:r>
      <w:bookmarkEnd w:id="12"/>
    </w:p>
    <w:p w:rsidR="00F42D78" w:rsidRDefault="00B83071" w:rsidP="00236D17">
      <w:pPr>
        <w:pStyle w:val="ListParagraph"/>
        <w:ind w:left="360"/>
      </w:pPr>
      <w:r>
        <w:t xml:space="preserve">To assist organisations with the build of their Risk Module, </w:t>
      </w:r>
      <w:r w:rsidR="00236D17">
        <w:t>LOGIQC has d</w:t>
      </w:r>
      <w:r w:rsidR="00F42D78">
        <w:t xml:space="preserve">ocumented a range of </w:t>
      </w:r>
      <w:r w:rsidR="00236D17" w:rsidRPr="004D2527">
        <w:t>risks</w:t>
      </w:r>
      <w:r w:rsidR="00F42D78">
        <w:t xml:space="preserve"> that are typical to the healthcare service delivery context. Each risk has been fully described in terms of potential consequences, </w:t>
      </w:r>
      <w:r w:rsidR="00236D17" w:rsidRPr="004D2527">
        <w:t xml:space="preserve">cause/contributing factors and </w:t>
      </w:r>
      <w:r w:rsidR="00F42D78">
        <w:t xml:space="preserve">includes a description of </w:t>
      </w:r>
      <w:r w:rsidR="00236D17" w:rsidRPr="004D2527">
        <w:t>controls</w:t>
      </w:r>
      <w:r w:rsidR="00236D17">
        <w:t xml:space="preserve"> </w:t>
      </w:r>
      <w:r w:rsidR="00F42D78">
        <w:t xml:space="preserve">that are generally in place as </w:t>
      </w:r>
      <w:r>
        <w:t>required</w:t>
      </w:r>
      <w:r w:rsidR="00F42D78">
        <w:t xml:space="preserve"> by industry Standards. </w:t>
      </w:r>
      <w:r>
        <w:t>For example, required policies and procedures, internal audits, licence and credentialing checks, mandatory training etc, which are typical controls to manage risks.</w:t>
      </w:r>
    </w:p>
    <w:p w:rsidR="00F42D78" w:rsidRDefault="00F42D78" w:rsidP="00236D17">
      <w:pPr>
        <w:pStyle w:val="ListParagraph"/>
        <w:ind w:left="360"/>
      </w:pPr>
    </w:p>
    <w:p w:rsidR="00236D17" w:rsidRDefault="00236D17" w:rsidP="00236D17">
      <w:pPr>
        <w:pStyle w:val="ListParagraph"/>
        <w:ind w:left="360"/>
      </w:pPr>
      <w:r w:rsidRPr="004D2527">
        <w:t>Th</w:t>
      </w:r>
      <w:r>
        <w:t xml:space="preserve">e content provided in these drafted details forms </w:t>
      </w:r>
      <w:r w:rsidRPr="004D2527">
        <w:t xml:space="preserve">can be modified to suit your organisations </w:t>
      </w:r>
      <w:r>
        <w:t xml:space="preserve">specific operating </w:t>
      </w:r>
      <w:r w:rsidRPr="004D2527">
        <w:t xml:space="preserve">environment. </w:t>
      </w:r>
      <w:r>
        <w:t xml:space="preserve">If there are some that are not applicable to your organisation you can simply delete the details form, similarly if you have additional risk you </w:t>
      </w:r>
      <w:r w:rsidR="00B83071">
        <w:t>need</w:t>
      </w:r>
      <w:r>
        <w:t xml:space="preserve"> to add beyond the examples provided you can add these to </w:t>
      </w:r>
      <w:r w:rsidR="00B83071">
        <w:t>your Risk Module</w:t>
      </w:r>
      <w:r>
        <w:t xml:space="preserve">. </w:t>
      </w:r>
    </w:p>
    <w:p w:rsidR="00236D17" w:rsidRDefault="00236D17" w:rsidP="00236D17">
      <w:pPr>
        <w:pStyle w:val="ListParagraph"/>
        <w:ind w:left="360"/>
      </w:pPr>
    </w:p>
    <w:p w:rsidR="00236D17" w:rsidRPr="00294769" w:rsidRDefault="00236D17" w:rsidP="00964B3B">
      <w:pPr>
        <w:pStyle w:val="ListParagraph"/>
        <w:numPr>
          <w:ilvl w:val="1"/>
          <w:numId w:val="2"/>
        </w:numPr>
        <w:rPr>
          <w:b/>
        </w:rPr>
      </w:pPr>
      <w:r>
        <w:rPr>
          <w:b/>
        </w:rPr>
        <w:t xml:space="preserve">Completing the drafted </w:t>
      </w:r>
      <w:r w:rsidR="00A314B3">
        <w:rPr>
          <w:b/>
        </w:rPr>
        <w:t>Risk Details Form</w:t>
      </w:r>
    </w:p>
    <w:tbl>
      <w:tblPr>
        <w:tblStyle w:val="TableGrid"/>
        <w:tblW w:w="9864" w:type="dxa"/>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5245"/>
        <w:gridCol w:w="4510"/>
        <w:gridCol w:w="109"/>
      </w:tblGrid>
      <w:tr w:rsidR="008D2416" w:rsidRPr="00825196" w:rsidTr="0030345E">
        <w:trPr>
          <w:trHeight w:val="794"/>
        </w:trPr>
        <w:tc>
          <w:tcPr>
            <w:tcW w:w="5245" w:type="dxa"/>
          </w:tcPr>
          <w:p w:rsidR="008D2416" w:rsidRPr="00D55D95" w:rsidRDefault="008D2416" w:rsidP="008C3F34">
            <w:pPr>
              <w:pStyle w:val="Tablebody"/>
            </w:pPr>
            <w:r>
              <w:rPr>
                <w:noProof/>
              </w:rPr>
              <w:drawing>
                <wp:inline distT="0" distB="0" distL="0" distR="0" wp14:anchorId="38F028E3" wp14:editId="705D5D89">
                  <wp:extent cx="2880000" cy="246557"/>
                  <wp:effectExtent l="19050" t="19050" r="15875" b="203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0000" cy="246557"/>
                          </a:xfrm>
                          <a:prstGeom prst="rect">
                            <a:avLst/>
                          </a:prstGeom>
                          <a:ln>
                            <a:solidFill>
                              <a:schemeClr val="bg1">
                                <a:lumMod val="75000"/>
                              </a:schemeClr>
                            </a:solidFill>
                          </a:ln>
                        </pic:spPr>
                      </pic:pic>
                    </a:graphicData>
                  </a:graphic>
                </wp:inline>
              </w:drawing>
            </w:r>
          </w:p>
        </w:tc>
        <w:tc>
          <w:tcPr>
            <w:tcW w:w="4619" w:type="dxa"/>
            <w:gridSpan w:val="2"/>
            <w:shd w:val="clear" w:color="auto" w:fill="EAEAEA"/>
          </w:tcPr>
          <w:p w:rsidR="008D2416" w:rsidRPr="00D55D95" w:rsidRDefault="008D2416" w:rsidP="008C3F34">
            <w:pPr>
              <w:pStyle w:val="Tablebody"/>
            </w:pPr>
            <w:r>
              <w:t>Select a risk from the menu.</w:t>
            </w:r>
            <w:r w:rsidR="00B83071">
              <w:t xml:space="preserve"> Additional risks can be added by the administrator in </w:t>
            </w:r>
            <w:r w:rsidR="00B83071" w:rsidRPr="00DB1171">
              <w:rPr>
                <w:rStyle w:val="Strong"/>
              </w:rPr>
              <w:t>system setup</w:t>
            </w:r>
            <w:r w:rsidR="00B83071">
              <w:t>.</w:t>
            </w:r>
          </w:p>
        </w:tc>
      </w:tr>
      <w:tr w:rsidR="008D2416" w:rsidRPr="00825196" w:rsidTr="0030345E">
        <w:tc>
          <w:tcPr>
            <w:tcW w:w="5245" w:type="dxa"/>
          </w:tcPr>
          <w:p w:rsidR="008D2416" w:rsidRPr="00D55D95" w:rsidRDefault="008D2416" w:rsidP="008C3F34">
            <w:pPr>
              <w:pStyle w:val="Tablebody"/>
            </w:pPr>
            <w:r>
              <w:rPr>
                <w:noProof/>
              </w:rPr>
              <w:drawing>
                <wp:inline distT="0" distB="0" distL="0" distR="0" wp14:anchorId="48DA3F24" wp14:editId="77B510FB">
                  <wp:extent cx="2880000" cy="240873"/>
                  <wp:effectExtent l="19050" t="19050" r="15875"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000" cy="240873"/>
                          </a:xfrm>
                          <a:prstGeom prst="rect">
                            <a:avLst/>
                          </a:prstGeom>
                          <a:ln>
                            <a:solidFill>
                              <a:schemeClr val="bg1">
                                <a:lumMod val="75000"/>
                              </a:schemeClr>
                            </a:solidFill>
                          </a:ln>
                        </pic:spPr>
                      </pic:pic>
                    </a:graphicData>
                  </a:graphic>
                </wp:inline>
              </w:drawing>
            </w:r>
          </w:p>
        </w:tc>
        <w:tc>
          <w:tcPr>
            <w:tcW w:w="4619" w:type="dxa"/>
            <w:gridSpan w:val="2"/>
            <w:shd w:val="clear" w:color="auto" w:fill="EAEAEA"/>
          </w:tcPr>
          <w:p w:rsidR="008D2416" w:rsidRPr="00D55D95" w:rsidRDefault="008D2416" w:rsidP="008C3F34">
            <w:pPr>
              <w:pStyle w:val="Tablebody"/>
            </w:pPr>
            <w:r>
              <w:t xml:space="preserve">Select a corresponding dimension. This menu can be edited by the administrator in </w:t>
            </w:r>
            <w:r w:rsidRPr="00DB1171">
              <w:rPr>
                <w:rStyle w:val="Strong"/>
              </w:rPr>
              <w:t>system setup</w:t>
            </w:r>
            <w:r>
              <w:t xml:space="preserve">. </w:t>
            </w:r>
          </w:p>
        </w:tc>
      </w:tr>
      <w:tr w:rsidR="008D2416" w:rsidRPr="00825196" w:rsidTr="0030345E">
        <w:tc>
          <w:tcPr>
            <w:tcW w:w="5245" w:type="dxa"/>
          </w:tcPr>
          <w:p w:rsidR="008D2416" w:rsidRPr="00D55D95" w:rsidRDefault="008D2416" w:rsidP="008C3F34">
            <w:pPr>
              <w:pStyle w:val="Tablebody"/>
            </w:pPr>
            <w:r>
              <w:rPr>
                <w:noProof/>
              </w:rPr>
              <w:drawing>
                <wp:inline distT="0" distB="0" distL="0" distR="0" wp14:anchorId="78596344" wp14:editId="18423219">
                  <wp:extent cx="2880000" cy="660217"/>
                  <wp:effectExtent l="19050" t="19050" r="15875"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80000" cy="660217"/>
                          </a:xfrm>
                          <a:prstGeom prst="rect">
                            <a:avLst/>
                          </a:prstGeom>
                          <a:ln>
                            <a:solidFill>
                              <a:schemeClr val="bg1">
                                <a:lumMod val="75000"/>
                              </a:schemeClr>
                            </a:solidFill>
                          </a:ln>
                        </pic:spPr>
                      </pic:pic>
                    </a:graphicData>
                  </a:graphic>
                </wp:inline>
              </w:drawing>
            </w:r>
          </w:p>
        </w:tc>
        <w:tc>
          <w:tcPr>
            <w:tcW w:w="4619" w:type="dxa"/>
            <w:gridSpan w:val="2"/>
            <w:shd w:val="clear" w:color="auto" w:fill="EAEAEA"/>
          </w:tcPr>
          <w:p w:rsidR="008D2416" w:rsidRPr="00D55D95" w:rsidRDefault="008D2416" w:rsidP="008C3F34">
            <w:pPr>
              <w:pStyle w:val="Tablebody"/>
            </w:pPr>
            <w:r>
              <w:t>Provide a detailed description of the actual risk including the context in which it can occur.</w:t>
            </w:r>
            <w:r w:rsidR="00B83071">
              <w:t xml:space="preserve"> This is important as it brings clarity to the context and parameters of the risk.</w:t>
            </w:r>
          </w:p>
        </w:tc>
      </w:tr>
      <w:tr w:rsidR="008D2416" w:rsidRPr="00825196" w:rsidTr="0030345E">
        <w:tc>
          <w:tcPr>
            <w:tcW w:w="5245" w:type="dxa"/>
          </w:tcPr>
          <w:p w:rsidR="008D2416" w:rsidRPr="00D55D95" w:rsidRDefault="008D2416" w:rsidP="008C3F34">
            <w:pPr>
              <w:pStyle w:val="Tablebody"/>
            </w:pPr>
            <w:r>
              <w:rPr>
                <w:noProof/>
              </w:rPr>
              <w:drawing>
                <wp:inline distT="0" distB="0" distL="0" distR="0" wp14:anchorId="3E88AF71" wp14:editId="1CBF4B09">
                  <wp:extent cx="2880000" cy="742377"/>
                  <wp:effectExtent l="19050" t="19050" r="15875" b="19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80000" cy="742377"/>
                          </a:xfrm>
                          <a:prstGeom prst="rect">
                            <a:avLst/>
                          </a:prstGeom>
                          <a:ln>
                            <a:solidFill>
                              <a:schemeClr val="bg1">
                                <a:lumMod val="75000"/>
                              </a:schemeClr>
                            </a:solidFill>
                          </a:ln>
                        </pic:spPr>
                      </pic:pic>
                    </a:graphicData>
                  </a:graphic>
                </wp:inline>
              </w:drawing>
            </w:r>
          </w:p>
        </w:tc>
        <w:tc>
          <w:tcPr>
            <w:tcW w:w="4619" w:type="dxa"/>
            <w:gridSpan w:val="2"/>
            <w:shd w:val="clear" w:color="auto" w:fill="EAEAEA"/>
          </w:tcPr>
          <w:p w:rsidR="008D2416" w:rsidRPr="00B83071" w:rsidRDefault="008D2416" w:rsidP="008C3F34">
            <w:pPr>
              <w:pStyle w:val="Tablebody"/>
            </w:pPr>
            <w:r>
              <w:t xml:space="preserve">Selecting a restriction level will mean that only users with those permission levels can see the </w:t>
            </w:r>
            <w:r w:rsidR="00A314B3">
              <w:t>Risk Details Form</w:t>
            </w:r>
            <w:r>
              <w:t xml:space="preserve"> on the system. To see the permission levels assigned to users, go to </w:t>
            </w:r>
            <w:r>
              <w:rPr>
                <w:b/>
              </w:rPr>
              <w:t xml:space="preserve">contacts/staff contacts </w:t>
            </w:r>
            <w:r>
              <w:t xml:space="preserve">and click </w:t>
            </w:r>
            <w:r w:rsidRPr="00B83071">
              <w:t>export.</w:t>
            </w:r>
            <w:r w:rsidR="00B83071" w:rsidRPr="00B83071">
              <w:t xml:space="preserve"> Enabling access supports transparency and accountability in the management of risks.</w:t>
            </w:r>
            <w:r w:rsidR="00B83071">
              <w:rPr>
                <w:b/>
              </w:rPr>
              <w:t xml:space="preserve"> </w:t>
            </w:r>
            <w:r w:rsidR="00B83071">
              <w:t xml:space="preserve"> </w:t>
            </w:r>
            <w:r w:rsidR="00B83071">
              <w:rPr>
                <w:b/>
              </w:rPr>
              <w:t xml:space="preserve"> </w:t>
            </w:r>
          </w:p>
        </w:tc>
      </w:tr>
      <w:tr w:rsidR="008D2416" w:rsidRPr="00825196" w:rsidTr="0030345E">
        <w:tc>
          <w:tcPr>
            <w:tcW w:w="5245" w:type="dxa"/>
          </w:tcPr>
          <w:p w:rsidR="008D2416" w:rsidRPr="00D55D95" w:rsidRDefault="008D2416" w:rsidP="008C3F34">
            <w:pPr>
              <w:pStyle w:val="Tablebody"/>
            </w:pPr>
            <w:r>
              <w:rPr>
                <w:noProof/>
              </w:rPr>
              <w:drawing>
                <wp:inline distT="0" distB="0" distL="0" distR="0" wp14:anchorId="71AE4898" wp14:editId="4623F57D">
                  <wp:extent cx="2880000" cy="228736"/>
                  <wp:effectExtent l="19050" t="19050" r="1587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0000" cy="228736"/>
                          </a:xfrm>
                          <a:prstGeom prst="rect">
                            <a:avLst/>
                          </a:prstGeom>
                          <a:ln>
                            <a:solidFill>
                              <a:schemeClr val="bg1">
                                <a:lumMod val="75000"/>
                              </a:schemeClr>
                            </a:solidFill>
                          </a:ln>
                        </pic:spPr>
                      </pic:pic>
                    </a:graphicData>
                  </a:graphic>
                </wp:inline>
              </w:drawing>
            </w:r>
          </w:p>
        </w:tc>
        <w:tc>
          <w:tcPr>
            <w:tcW w:w="4619" w:type="dxa"/>
            <w:gridSpan w:val="2"/>
            <w:shd w:val="clear" w:color="auto" w:fill="EAEAEA"/>
          </w:tcPr>
          <w:p w:rsidR="008D2416" w:rsidRPr="00D55D95" w:rsidRDefault="008D2416" w:rsidP="008C3F34">
            <w:pPr>
              <w:pStyle w:val="Tablebody"/>
            </w:pPr>
            <w:r>
              <w:t xml:space="preserve">State the main locations where this risk could occur e.g. clinic, car park, admin etc. or NA. </w:t>
            </w:r>
          </w:p>
        </w:tc>
      </w:tr>
      <w:tr w:rsidR="008D2416" w:rsidRPr="00825196" w:rsidTr="0030345E">
        <w:tc>
          <w:tcPr>
            <w:tcW w:w="5245" w:type="dxa"/>
          </w:tcPr>
          <w:p w:rsidR="008D2416" w:rsidRPr="00D55D95" w:rsidRDefault="008D2416" w:rsidP="008C3F34">
            <w:pPr>
              <w:pStyle w:val="Tablebody"/>
            </w:pPr>
            <w:r>
              <w:rPr>
                <w:noProof/>
              </w:rPr>
              <w:drawing>
                <wp:inline distT="0" distB="0" distL="0" distR="0" wp14:anchorId="6C8DA96E" wp14:editId="11A9C5D1">
                  <wp:extent cx="2880000" cy="667826"/>
                  <wp:effectExtent l="19050" t="19050" r="15875" b="184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80000" cy="667826"/>
                          </a:xfrm>
                          <a:prstGeom prst="rect">
                            <a:avLst/>
                          </a:prstGeom>
                          <a:ln>
                            <a:solidFill>
                              <a:schemeClr val="bg1">
                                <a:lumMod val="75000"/>
                              </a:schemeClr>
                            </a:solidFill>
                          </a:ln>
                        </pic:spPr>
                      </pic:pic>
                    </a:graphicData>
                  </a:graphic>
                </wp:inline>
              </w:drawing>
            </w:r>
          </w:p>
        </w:tc>
        <w:tc>
          <w:tcPr>
            <w:tcW w:w="4619" w:type="dxa"/>
            <w:gridSpan w:val="2"/>
            <w:shd w:val="clear" w:color="auto" w:fill="EAEAEA"/>
          </w:tcPr>
          <w:p w:rsidR="008D2416" w:rsidRPr="00D55D95" w:rsidRDefault="008D2416" w:rsidP="008C3F34">
            <w:pPr>
              <w:pStyle w:val="Tablebody"/>
            </w:pPr>
            <w:r>
              <w:t>Describe the consequences</w:t>
            </w:r>
            <w:r w:rsidR="00B83071">
              <w:t xml:space="preserve"> to the organisation,</w:t>
            </w:r>
            <w:r>
              <w:t xml:space="preserve"> if the risk were to occur.</w:t>
            </w:r>
          </w:p>
        </w:tc>
      </w:tr>
      <w:tr w:rsidR="008D2416" w:rsidRPr="00825196" w:rsidTr="0030345E">
        <w:tc>
          <w:tcPr>
            <w:tcW w:w="5245" w:type="dxa"/>
          </w:tcPr>
          <w:p w:rsidR="008D2416" w:rsidRPr="00D55D95" w:rsidRDefault="008D2416" w:rsidP="008C3F34">
            <w:pPr>
              <w:pStyle w:val="Tablebody"/>
            </w:pPr>
            <w:r>
              <w:rPr>
                <w:noProof/>
              </w:rPr>
              <w:drawing>
                <wp:inline distT="0" distB="0" distL="0" distR="0" wp14:anchorId="3916A949" wp14:editId="35691E80">
                  <wp:extent cx="2880000" cy="634754"/>
                  <wp:effectExtent l="19050" t="19050" r="1587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80000" cy="634754"/>
                          </a:xfrm>
                          <a:prstGeom prst="rect">
                            <a:avLst/>
                          </a:prstGeom>
                          <a:ln>
                            <a:solidFill>
                              <a:schemeClr val="bg1">
                                <a:lumMod val="75000"/>
                              </a:schemeClr>
                            </a:solidFill>
                          </a:ln>
                        </pic:spPr>
                      </pic:pic>
                    </a:graphicData>
                  </a:graphic>
                </wp:inline>
              </w:drawing>
            </w:r>
          </w:p>
        </w:tc>
        <w:tc>
          <w:tcPr>
            <w:tcW w:w="4619" w:type="dxa"/>
            <w:gridSpan w:val="2"/>
            <w:shd w:val="clear" w:color="auto" w:fill="EAEAEA"/>
          </w:tcPr>
          <w:p w:rsidR="008D2416" w:rsidRPr="00D55D95" w:rsidRDefault="008D2416" w:rsidP="008C3F34">
            <w:pPr>
              <w:pStyle w:val="Tablebody"/>
            </w:pPr>
            <w:r>
              <w:t xml:space="preserve">Describe </w:t>
            </w:r>
            <w:r w:rsidR="00B83071">
              <w:t xml:space="preserve">the </w:t>
            </w:r>
            <w:r>
              <w:t>cause</w:t>
            </w:r>
            <w:r w:rsidR="00B83071">
              <w:t xml:space="preserve"> or contributing factors that would </w:t>
            </w:r>
            <w:r w:rsidR="007720E0">
              <w:t>give rise to the risk occurring</w:t>
            </w:r>
            <w:r>
              <w:t>.</w:t>
            </w:r>
          </w:p>
        </w:tc>
      </w:tr>
      <w:tr w:rsidR="008D2416" w:rsidRPr="00825196" w:rsidTr="0030345E">
        <w:tc>
          <w:tcPr>
            <w:tcW w:w="5245" w:type="dxa"/>
          </w:tcPr>
          <w:p w:rsidR="008D2416" w:rsidRDefault="008D2416" w:rsidP="008C3F34">
            <w:pPr>
              <w:pStyle w:val="Tablebody"/>
            </w:pPr>
            <w:r>
              <w:rPr>
                <w:noProof/>
              </w:rPr>
              <w:drawing>
                <wp:inline distT="0" distB="0" distL="0" distR="0" wp14:anchorId="1CC3EB32" wp14:editId="232296B6">
                  <wp:extent cx="2880000" cy="1269677"/>
                  <wp:effectExtent l="19050" t="19050" r="15875" b="260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80000" cy="1269677"/>
                          </a:xfrm>
                          <a:prstGeom prst="rect">
                            <a:avLst/>
                          </a:prstGeom>
                          <a:ln>
                            <a:solidFill>
                              <a:schemeClr val="bg1">
                                <a:lumMod val="75000"/>
                              </a:schemeClr>
                            </a:solidFill>
                          </a:ln>
                        </pic:spPr>
                      </pic:pic>
                    </a:graphicData>
                  </a:graphic>
                </wp:inline>
              </w:drawing>
            </w:r>
          </w:p>
        </w:tc>
        <w:tc>
          <w:tcPr>
            <w:tcW w:w="4619" w:type="dxa"/>
            <w:gridSpan w:val="2"/>
            <w:shd w:val="clear" w:color="auto" w:fill="EAEAEA"/>
          </w:tcPr>
          <w:p w:rsidR="008D2416" w:rsidRPr="00D55D95" w:rsidRDefault="008D2416" w:rsidP="008C3F34">
            <w:pPr>
              <w:pStyle w:val="Tablebody"/>
            </w:pPr>
            <w:r>
              <w:t xml:space="preserve">Items in other LOGIQC registers (if activated in your system) can be linked to the risk as evidence of </w:t>
            </w:r>
            <w:r w:rsidR="007720E0">
              <w:t>the</w:t>
            </w:r>
            <w:r>
              <w:t xml:space="preserve"> control</w:t>
            </w:r>
            <w:r w:rsidR="007720E0">
              <w:t>s</w:t>
            </w:r>
            <w:r>
              <w:t xml:space="preserve"> that </w:t>
            </w:r>
            <w:r w:rsidR="007720E0">
              <w:t>are</w:t>
            </w:r>
            <w:r>
              <w:t xml:space="preserve"> in place to manage or mitigate the risk. Click into each field and select any relevant items. </w:t>
            </w:r>
          </w:p>
        </w:tc>
      </w:tr>
      <w:tr w:rsidR="008D2416" w:rsidRPr="00B52965" w:rsidTr="0030345E">
        <w:trPr>
          <w:trHeight w:val="152"/>
        </w:trPr>
        <w:tc>
          <w:tcPr>
            <w:tcW w:w="5245" w:type="dxa"/>
          </w:tcPr>
          <w:p w:rsidR="004620B7" w:rsidRPr="004620B7" w:rsidRDefault="004620B7" w:rsidP="004620B7">
            <w:pPr>
              <w:pStyle w:val="ListParagraph"/>
              <w:spacing w:after="0" w:line="276" w:lineRule="auto"/>
              <w:ind w:left="463"/>
              <w:rPr>
                <w:b/>
                <w:sz w:val="22"/>
              </w:rPr>
            </w:pPr>
          </w:p>
          <w:p w:rsidR="008D2416" w:rsidRPr="00B52965" w:rsidRDefault="00294769" w:rsidP="00964B3B">
            <w:pPr>
              <w:pStyle w:val="ListParagraph"/>
              <w:numPr>
                <w:ilvl w:val="1"/>
                <w:numId w:val="2"/>
              </w:numPr>
              <w:spacing w:after="0" w:line="276" w:lineRule="auto"/>
              <w:ind w:left="463" w:hanging="425"/>
              <w:rPr>
                <w:b/>
                <w:sz w:val="22"/>
              </w:rPr>
            </w:pPr>
            <w:r w:rsidRPr="00294769">
              <w:rPr>
                <w:b/>
              </w:rPr>
              <w:lastRenderedPageBreak/>
              <w:t>H</w:t>
            </w:r>
            <w:r>
              <w:rPr>
                <w:b/>
              </w:rPr>
              <w:t>o</w:t>
            </w:r>
            <w:r w:rsidRPr="00294769">
              <w:rPr>
                <w:b/>
              </w:rPr>
              <w:t xml:space="preserve">w to complete the </w:t>
            </w:r>
            <w:r>
              <w:rPr>
                <w:b/>
              </w:rPr>
              <w:t>r</w:t>
            </w:r>
            <w:r w:rsidRPr="00294769">
              <w:rPr>
                <w:b/>
              </w:rPr>
              <w:t>isk assessment</w:t>
            </w:r>
            <w:r>
              <w:rPr>
                <w:b/>
                <w:sz w:val="22"/>
              </w:rPr>
              <w:t xml:space="preserve"> </w:t>
            </w:r>
          </w:p>
        </w:tc>
        <w:tc>
          <w:tcPr>
            <w:tcW w:w="4619" w:type="dxa"/>
            <w:gridSpan w:val="2"/>
            <w:shd w:val="clear" w:color="auto" w:fill="auto"/>
          </w:tcPr>
          <w:p w:rsidR="008D2416" w:rsidRPr="00B52965" w:rsidRDefault="008D2416" w:rsidP="008C3F34">
            <w:pPr>
              <w:pStyle w:val="Tablebody"/>
              <w:rPr>
                <w:sz w:val="22"/>
              </w:rPr>
            </w:pPr>
          </w:p>
        </w:tc>
      </w:tr>
      <w:tr w:rsidR="008D2416" w:rsidRPr="00825196" w:rsidTr="0030345E">
        <w:trPr>
          <w:gridAfter w:val="1"/>
          <w:wAfter w:w="109" w:type="dxa"/>
          <w:trHeight w:val="2235"/>
        </w:trPr>
        <w:tc>
          <w:tcPr>
            <w:tcW w:w="5245" w:type="dxa"/>
          </w:tcPr>
          <w:p w:rsidR="008D2416" w:rsidRPr="00D55D95" w:rsidRDefault="008D2416" w:rsidP="00294769">
            <w:pPr>
              <w:pStyle w:val="Tablebody"/>
            </w:pPr>
            <w:r>
              <w:rPr>
                <w:noProof/>
              </w:rPr>
              <w:drawing>
                <wp:inline distT="0" distB="0" distL="0" distR="0" wp14:anchorId="34E114FD" wp14:editId="39EF0521">
                  <wp:extent cx="2886710" cy="1657350"/>
                  <wp:effectExtent l="19050" t="19050" r="2794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1.PNG"/>
                          <pic:cNvPicPr/>
                        </pic:nvPicPr>
                        <pic:blipFill>
                          <a:blip r:embed="rId26">
                            <a:extLst>
                              <a:ext uri="{28A0092B-C50C-407E-A947-70E740481C1C}">
                                <a14:useLocalDpi xmlns:a14="http://schemas.microsoft.com/office/drawing/2010/main" val="0"/>
                              </a:ext>
                            </a:extLst>
                          </a:blip>
                          <a:stretch>
                            <a:fillRect/>
                          </a:stretch>
                        </pic:blipFill>
                        <pic:spPr>
                          <a:xfrm>
                            <a:off x="0" y="0"/>
                            <a:ext cx="2930359" cy="1682410"/>
                          </a:xfrm>
                          <a:prstGeom prst="rect">
                            <a:avLst/>
                          </a:prstGeom>
                          <a:ln>
                            <a:solidFill>
                              <a:schemeClr val="bg1">
                                <a:lumMod val="75000"/>
                              </a:schemeClr>
                            </a:solidFill>
                          </a:ln>
                        </pic:spPr>
                      </pic:pic>
                    </a:graphicData>
                  </a:graphic>
                </wp:inline>
              </w:drawing>
            </w:r>
          </w:p>
        </w:tc>
        <w:tc>
          <w:tcPr>
            <w:tcW w:w="4510" w:type="dxa"/>
            <w:shd w:val="clear" w:color="auto" w:fill="EAEAEA"/>
          </w:tcPr>
          <w:p w:rsidR="007720E0" w:rsidRDefault="008D2416" w:rsidP="00294769">
            <w:pPr>
              <w:pStyle w:val="Tablebody"/>
            </w:pPr>
            <w:r>
              <w:t>Each risk is given two ratings</w:t>
            </w:r>
            <w:r w:rsidR="00590859">
              <w:t>:</w:t>
            </w:r>
            <w:r>
              <w:t xml:space="preserve"> </w:t>
            </w:r>
          </w:p>
          <w:p w:rsidR="00590859" w:rsidRPr="00590859" w:rsidRDefault="00590859" w:rsidP="00294769">
            <w:pPr>
              <w:pStyle w:val="Tablebody"/>
              <w:rPr>
                <w:b/>
              </w:rPr>
            </w:pPr>
            <w:r w:rsidRPr="00590859">
              <w:rPr>
                <w:b/>
              </w:rPr>
              <w:t>Uncontrolled risk rating</w:t>
            </w:r>
          </w:p>
          <w:p w:rsidR="007720E0" w:rsidRDefault="008D2416" w:rsidP="00294769">
            <w:pPr>
              <w:pStyle w:val="Tablebody"/>
            </w:pPr>
            <w:r>
              <w:t xml:space="preserve">The uncontrolled risk rating is the rating </w:t>
            </w:r>
            <w:r w:rsidR="007720E0">
              <w:t>of</w:t>
            </w:r>
            <w:r>
              <w:t xml:space="preserve"> the risk </w:t>
            </w:r>
            <w:r w:rsidR="007720E0">
              <w:t>without controls (e.g. policies, procedures, staff training etc.). The uncontrolled risk rating represents t</w:t>
            </w:r>
            <w:r w:rsidR="00A90707">
              <w:t>he “</w:t>
            </w:r>
            <w:r w:rsidR="007720E0">
              <w:t>inherent”</w:t>
            </w:r>
            <w:r w:rsidR="00A90707">
              <w:t xml:space="preserve"> or “residual”</w:t>
            </w:r>
            <w:r w:rsidR="007720E0">
              <w:t xml:space="preserve"> </w:t>
            </w:r>
            <w:r w:rsidR="00590859">
              <w:t xml:space="preserve">risk </w:t>
            </w:r>
            <w:r w:rsidR="00A90707">
              <w:t xml:space="preserve">to </w:t>
            </w:r>
            <w:r w:rsidR="007720E0">
              <w:t>the organisation</w:t>
            </w:r>
            <w:r w:rsidR="00A90707">
              <w:t>. The uncontrolled risk rating is equivalent to the natural level of the risk inherent in a process or activity without doing anything to reduce the likelihood or mitigate the severity of the risk occurring</w:t>
            </w:r>
            <w:r w:rsidR="007720E0">
              <w:t xml:space="preserve">. </w:t>
            </w:r>
            <w:r w:rsidR="00A90707">
              <w:t>Uncontrolled r</w:t>
            </w:r>
            <w:r w:rsidR="007720E0">
              <w:t xml:space="preserve">isks which are assessed as “extreme” or “high” should be closely monitored and have rigorous controls in place.  </w:t>
            </w:r>
          </w:p>
          <w:p w:rsidR="007720E0" w:rsidRDefault="007720E0" w:rsidP="00294769">
            <w:pPr>
              <w:pStyle w:val="Tablebody"/>
            </w:pPr>
          </w:p>
          <w:p w:rsidR="00590859" w:rsidRPr="00590859" w:rsidRDefault="00590859" w:rsidP="00294769">
            <w:pPr>
              <w:pStyle w:val="Tablebody"/>
              <w:rPr>
                <w:b/>
              </w:rPr>
            </w:pPr>
            <w:r w:rsidRPr="00590859">
              <w:rPr>
                <w:b/>
              </w:rPr>
              <w:t>Controlled risk rating</w:t>
            </w:r>
          </w:p>
          <w:p w:rsidR="00590859" w:rsidRPr="00294769" w:rsidRDefault="008D2416" w:rsidP="00294769">
            <w:pPr>
              <w:pStyle w:val="Tablebody"/>
            </w:pPr>
            <w:r>
              <w:t>The controlled risk rating is the rating for the risk after controls are put in place.</w:t>
            </w:r>
            <w:r w:rsidR="00A90707">
              <w:t xml:space="preserve"> </w:t>
            </w:r>
            <w:r w:rsidR="00590859">
              <w:t xml:space="preserve">Where </w:t>
            </w:r>
            <w:r w:rsidR="00A90707">
              <w:t xml:space="preserve">the </w:t>
            </w:r>
            <w:r w:rsidR="00590859">
              <w:t xml:space="preserve">controlled risk </w:t>
            </w:r>
            <w:r w:rsidR="00A90707">
              <w:t xml:space="preserve">rating </w:t>
            </w:r>
            <w:r w:rsidR="00590859">
              <w:t>remain</w:t>
            </w:r>
            <w:r w:rsidR="00A90707">
              <w:t>s</w:t>
            </w:r>
            <w:r w:rsidR="00590859">
              <w:t xml:space="preserve"> “extreme” or is only downgraded to a “high”, consideration needs to be given as to what further mitigation action</w:t>
            </w:r>
            <w:r w:rsidR="00A90707">
              <w:t>/</w:t>
            </w:r>
            <w:r w:rsidR="00590859">
              <w:t xml:space="preserve">s need to be </w:t>
            </w:r>
            <w:r w:rsidR="00A90707">
              <w:t>taken</w:t>
            </w:r>
            <w:r w:rsidR="00590859">
              <w:t xml:space="preserve"> </w:t>
            </w:r>
            <w:proofErr w:type="gramStart"/>
            <w:r w:rsidR="00590859">
              <w:t>in order for</w:t>
            </w:r>
            <w:proofErr w:type="gramEnd"/>
            <w:r w:rsidR="00590859">
              <w:t xml:space="preserve"> the risk rating to be downgraded to a “medium” or “low”. </w:t>
            </w:r>
          </w:p>
        </w:tc>
      </w:tr>
      <w:tr w:rsidR="00294769" w:rsidRPr="00B52965" w:rsidTr="0030345E">
        <w:trPr>
          <w:trHeight w:val="152"/>
        </w:trPr>
        <w:tc>
          <w:tcPr>
            <w:tcW w:w="5245" w:type="dxa"/>
          </w:tcPr>
          <w:p w:rsidR="00294769" w:rsidRPr="00B52965" w:rsidRDefault="00FD3628" w:rsidP="00964B3B">
            <w:pPr>
              <w:pStyle w:val="ListParagraph"/>
              <w:numPr>
                <w:ilvl w:val="1"/>
                <w:numId w:val="2"/>
              </w:numPr>
              <w:spacing w:after="0" w:line="276" w:lineRule="auto"/>
              <w:ind w:left="463" w:hanging="425"/>
              <w:rPr>
                <w:b/>
                <w:sz w:val="22"/>
              </w:rPr>
            </w:pPr>
            <w:r>
              <w:rPr>
                <w:b/>
              </w:rPr>
              <w:t>H</w:t>
            </w:r>
            <w:r w:rsidR="00294769">
              <w:rPr>
                <w:b/>
              </w:rPr>
              <w:t>o</w:t>
            </w:r>
            <w:r w:rsidR="00294769" w:rsidRPr="00294769">
              <w:rPr>
                <w:b/>
              </w:rPr>
              <w:t xml:space="preserve">w to </w:t>
            </w:r>
            <w:r w:rsidR="00294769">
              <w:rPr>
                <w:b/>
              </w:rPr>
              <w:t>add risk mitigation actions</w:t>
            </w:r>
            <w:r w:rsidR="00294769">
              <w:rPr>
                <w:b/>
                <w:sz w:val="22"/>
              </w:rPr>
              <w:t xml:space="preserve"> </w:t>
            </w:r>
          </w:p>
        </w:tc>
        <w:tc>
          <w:tcPr>
            <w:tcW w:w="4619" w:type="dxa"/>
            <w:gridSpan w:val="2"/>
            <w:shd w:val="clear" w:color="auto" w:fill="auto"/>
          </w:tcPr>
          <w:p w:rsidR="00294769" w:rsidRPr="00B52965" w:rsidRDefault="00294769" w:rsidP="00294769">
            <w:pPr>
              <w:pStyle w:val="Tablebody"/>
              <w:rPr>
                <w:sz w:val="22"/>
              </w:rPr>
            </w:pPr>
          </w:p>
        </w:tc>
      </w:tr>
      <w:tr w:rsidR="00294769" w:rsidRPr="00825196" w:rsidTr="0030345E">
        <w:trPr>
          <w:gridAfter w:val="1"/>
          <w:wAfter w:w="109" w:type="dxa"/>
          <w:trHeight w:val="794"/>
        </w:trPr>
        <w:tc>
          <w:tcPr>
            <w:tcW w:w="5245" w:type="dxa"/>
          </w:tcPr>
          <w:p w:rsidR="00294769" w:rsidRPr="00D55D95" w:rsidRDefault="00294769" w:rsidP="00294769">
            <w:pPr>
              <w:pStyle w:val="Tablebody"/>
            </w:pPr>
            <w:r>
              <w:rPr>
                <w:noProof/>
              </w:rPr>
              <w:drawing>
                <wp:inline distT="0" distB="0" distL="0" distR="0" wp14:anchorId="21A486F3" wp14:editId="3FD9E873">
                  <wp:extent cx="2880000" cy="650631"/>
                  <wp:effectExtent l="19050" t="19050" r="15875" b="165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80000" cy="650631"/>
                          </a:xfrm>
                          <a:prstGeom prst="rect">
                            <a:avLst/>
                          </a:prstGeom>
                          <a:ln>
                            <a:solidFill>
                              <a:schemeClr val="bg1">
                                <a:lumMod val="75000"/>
                              </a:schemeClr>
                            </a:solidFill>
                          </a:ln>
                        </pic:spPr>
                      </pic:pic>
                    </a:graphicData>
                  </a:graphic>
                </wp:inline>
              </w:drawing>
            </w:r>
          </w:p>
        </w:tc>
        <w:tc>
          <w:tcPr>
            <w:tcW w:w="4510" w:type="dxa"/>
            <w:vMerge w:val="restart"/>
            <w:shd w:val="clear" w:color="auto" w:fill="EAEAEA"/>
          </w:tcPr>
          <w:p w:rsidR="00294769" w:rsidRDefault="00294769" w:rsidP="00294769">
            <w:pPr>
              <w:pStyle w:val="Tablebody"/>
            </w:pPr>
            <w:r>
              <w:t xml:space="preserve">If further controls or actions are needed to </w:t>
            </w:r>
            <w:r w:rsidR="00A90707">
              <w:t xml:space="preserve">be put in place to manage a risk, </w:t>
            </w:r>
            <w:r>
              <w:t xml:space="preserve">e.g. </w:t>
            </w:r>
            <w:r w:rsidR="00590859">
              <w:t xml:space="preserve">strengthening policies or procedures, delegating responsibility for monitoring, formalising systems or processes, increasing frequency of monitoring or internal audit processes, providing </w:t>
            </w:r>
            <w:r>
              <w:t xml:space="preserve">staff </w:t>
            </w:r>
            <w:r w:rsidR="00590859">
              <w:t xml:space="preserve">with </w:t>
            </w:r>
            <w:r>
              <w:t>training, the</w:t>
            </w:r>
            <w:r w:rsidR="00A90707">
              <w:t xml:space="preserve"> mitigation actions </w:t>
            </w:r>
            <w:r>
              <w:t>can be entered here.</w:t>
            </w:r>
          </w:p>
          <w:p w:rsidR="00590859" w:rsidRDefault="00590859" w:rsidP="00294769">
            <w:pPr>
              <w:pStyle w:val="Tablebody"/>
            </w:pPr>
          </w:p>
          <w:p w:rsidR="00294769" w:rsidRPr="00D55D95" w:rsidRDefault="00294769" w:rsidP="00294769">
            <w:pPr>
              <w:pStyle w:val="Tablebody"/>
            </w:pPr>
            <w:r>
              <w:t xml:space="preserve">All mitigation actions will </w:t>
            </w:r>
            <w:r w:rsidR="00590859">
              <w:t xml:space="preserve">also </w:t>
            </w:r>
            <w:r>
              <w:t xml:space="preserve">be automatically listed on the </w:t>
            </w:r>
            <w:r w:rsidR="00A90707">
              <w:t>R</w:t>
            </w:r>
            <w:r>
              <w:t xml:space="preserve">isk </w:t>
            </w:r>
            <w:r w:rsidR="00A90707">
              <w:t>Mi</w:t>
            </w:r>
            <w:r>
              <w:t xml:space="preserve">tigation </w:t>
            </w:r>
            <w:r w:rsidR="00A90707">
              <w:t>A</w:t>
            </w:r>
            <w:r>
              <w:t xml:space="preserve">ctions tab on the </w:t>
            </w:r>
            <w:r w:rsidR="00A90707">
              <w:t>R</w:t>
            </w:r>
            <w:r>
              <w:t xml:space="preserve">isk </w:t>
            </w:r>
            <w:r w:rsidR="00A90707">
              <w:t>R</w:t>
            </w:r>
            <w:r>
              <w:t>egister</w:t>
            </w:r>
            <w:r w:rsidR="00590859">
              <w:t>, thereby providing a full list of all mitigation actions across all risks.</w:t>
            </w:r>
            <w:r>
              <w:t xml:space="preserve">  </w:t>
            </w:r>
          </w:p>
        </w:tc>
      </w:tr>
      <w:tr w:rsidR="00294769" w:rsidRPr="00825196" w:rsidTr="0030345E">
        <w:trPr>
          <w:gridAfter w:val="1"/>
          <w:wAfter w:w="109" w:type="dxa"/>
          <w:trHeight w:val="614"/>
        </w:trPr>
        <w:tc>
          <w:tcPr>
            <w:tcW w:w="5245" w:type="dxa"/>
          </w:tcPr>
          <w:p w:rsidR="00294769" w:rsidRDefault="00294769" w:rsidP="00294769">
            <w:pPr>
              <w:pStyle w:val="Tablebody"/>
            </w:pPr>
            <w:r>
              <w:rPr>
                <w:noProof/>
              </w:rPr>
              <w:drawing>
                <wp:inline distT="0" distB="0" distL="0" distR="0" wp14:anchorId="25B76B41" wp14:editId="089A7089">
                  <wp:extent cx="2880000" cy="483582"/>
                  <wp:effectExtent l="19050" t="19050" r="15875" b="120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80000" cy="483582"/>
                          </a:xfrm>
                          <a:prstGeom prst="rect">
                            <a:avLst/>
                          </a:prstGeom>
                          <a:ln>
                            <a:solidFill>
                              <a:schemeClr val="bg1">
                                <a:lumMod val="75000"/>
                              </a:schemeClr>
                            </a:solidFill>
                          </a:ln>
                        </pic:spPr>
                      </pic:pic>
                    </a:graphicData>
                  </a:graphic>
                </wp:inline>
              </w:drawing>
            </w:r>
          </w:p>
        </w:tc>
        <w:tc>
          <w:tcPr>
            <w:tcW w:w="4510" w:type="dxa"/>
            <w:vMerge/>
            <w:shd w:val="clear" w:color="auto" w:fill="EAEAEA"/>
          </w:tcPr>
          <w:p w:rsidR="00294769" w:rsidRPr="00D55D95" w:rsidRDefault="00294769" w:rsidP="00294769">
            <w:pPr>
              <w:pStyle w:val="Tablebody"/>
            </w:pPr>
          </w:p>
        </w:tc>
      </w:tr>
      <w:tr w:rsidR="00294769" w:rsidRPr="00825196" w:rsidTr="0030345E">
        <w:trPr>
          <w:gridAfter w:val="1"/>
          <w:wAfter w:w="109" w:type="dxa"/>
          <w:trHeight w:val="600"/>
        </w:trPr>
        <w:tc>
          <w:tcPr>
            <w:tcW w:w="5245" w:type="dxa"/>
          </w:tcPr>
          <w:p w:rsidR="00294769" w:rsidRDefault="00294769" w:rsidP="00294769">
            <w:pPr>
              <w:pStyle w:val="Tablebody"/>
            </w:pPr>
            <w:r>
              <w:rPr>
                <w:noProof/>
              </w:rPr>
              <w:drawing>
                <wp:inline distT="0" distB="0" distL="0" distR="0" wp14:anchorId="27DBFC08" wp14:editId="3D608497">
                  <wp:extent cx="2880000" cy="213141"/>
                  <wp:effectExtent l="19050" t="19050" r="15875" b="158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80000" cy="213141"/>
                          </a:xfrm>
                          <a:prstGeom prst="rect">
                            <a:avLst/>
                          </a:prstGeom>
                          <a:ln>
                            <a:solidFill>
                              <a:schemeClr val="bg1">
                                <a:lumMod val="75000"/>
                              </a:schemeClr>
                            </a:solidFill>
                          </a:ln>
                        </pic:spPr>
                      </pic:pic>
                    </a:graphicData>
                  </a:graphic>
                </wp:inline>
              </w:drawing>
            </w:r>
          </w:p>
        </w:tc>
        <w:tc>
          <w:tcPr>
            <w:tcW w:w="4510" w:type="dxa"/>
            <w:shd w:val="clear" w:color="auto" w:fill="EAEAEA"/>
          </w:tcPr>
          <w:p w:rsidR="00294769" w:rsidRPr="00D55D95" w:rsidRDefault="00294769" w:rsidP="00294769">
            <w:pPr>
              <w:pStyle w:val="Tablebody"/>
            </w:pPr>
            <w:r>
              <w:t xml:space="preserve">If there are items in the Improvement Register that relate to </w:t>
            </w:r>
            <w:r w:rsidR="00A90707">
              <w:t>a</w:t>
            </w:r>
            <w:r>
              <w:t xml:space="preserve"> risk, they can be linked to the risk via this menu.</w:t>
            </w:r>
            <w:r w:rsidR="00590859">
              <w:t xml:space="preserve"> </w:t>
            </w:r>
            <w:r w:rsidR="00A90707">
              <w:t xml:space="preserve">Linking related improvements </w:t>
            </w:r>
            <w:r w:rsidR="00590859">
              <w:t>provides</w:t>
            </w:r>
            <w:r w:rsidR="00A90707">
              <w:t xml:space="preserve"> valuable</w:t>
            </w:r>
            <w:r w:rsidR="00590859">
              <w:t xml:space="preserve"> information on what processes or action has been taken in the past to strengthen the controls </w:t>
            </w:r>
            <w:r w:rsidR="00A90707">
              <w:t>to</w:t>
            </w:r>
            <w:r w:rsidR="00590859">
              <w:t xml:space="preserve"> mitigat</w:t>
            </w:r>
            <w:r w:rsidR="00A90707">
              <w:t>e</w:t>
            </w:r>
            <w:r w:rsidR="00590859">
              <w:t xml:space="preserve"> </w:t>
            </w:r>
            <w:r w:rsidR="00A90707">
              <w:t>a</w:t>
            </w:r>
            <w:r w:rsidR="00590859">
              <w:t xml:space="preserve"> risk</w:t>
            </w:r>
            <w:r w:rsidR="00A90707">
              <w:t xml:space="preserve"> enabling the organisation to assess whether these improvements have been effective.</w:t>
            </w:r>
            <w:r w:rsidR="00590859">
              <w:t xml:space="preserve"> </w:t>
            </w:r>
            <w:r>
              <w:t xml:space="preserve">  </w:t>
            </w:r>
          </w:p>
        </w:tc>
      </w:tr>
    </w:tbl>
    <w:p w:rsidR="00C06A82" w:rsidRDefault="00C06A82">
      <w:r>
        <w:br w:type="page"/>
      </w:r>
    </w:p>
    <w:tbl>
      <w:tblPr>
        <w:tblStyle w:val="TableGrid"/>
        <w:tblW w:w="9864" w:type="dxa"/>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5245"/>
        <w:gridCol w:w="4619"/>
      </w:tblGrid>
      <w:tr w:rsidR="00294769" w:rsidRPr="00B52965" w:rsidTr="0030345E">
        <w:trPr>
          <w:trHeight w:val="152"/>
        </w:trPr>
        <w:tc>
          <w:tcPr>
            <w:tcW w:w="5245" w:type="dxa"/>
          </w:tcPr>
          <w:p w:rsidR="00294769" w:rsidRPr="00B52965" w:rsidRDefault="00294769" w:rsidP="00964B3B">
            <w:pPr>
              <w:pStyle w:val="ListParagraph"/>
              <w:numPr>
                <w:ilvl w:val="1"/>
                <w:numId w:val="2"/>
              </w:numPr>
              <w:spacing w:after="0" w:line="276" w:lineRule="auto"/>
              <w:ind w:left="463" w:hanging="425"/>
              <w:rPr>
                <w:b/>
                <w:sz w:val="22"/>
              </w:rPr>
            </w:pPr>
            <w:r>
              <w:rPr>
                <w:b/>
              </w:rPr>
              <w:lastRenderedPageBreak/>
              <w:t>How to schedule the Risk for r</w:t>
            </w:r>
            <w:r w:rsidRPr="00294769">
              <w:rPr>
                <w:b/>
              </w:rPr>
              <w:t xml:space="preserve">eview </w:t>
            </w:r>
          </w:p>
        </w:tc>
        <w:tc>
          <w:tcPr>
            <w:tcW w:w="4619" w:type="dxa"/>
            <w:shd w:val="clear" w:color="auto" w:fill="FFFFFF" w:themeFill="background1"/>
          </w:tcPr>
          <w:p w:rsidR="00294769" w:rsidRPr="00B52965" w:rsidRDefault="00294769" w:rsidP="00294769">
            <w:pPr>
              <w:pStyle w:val="Tablebody"/>
              <w:rPr>
                <w:sz w:val="22"/>
              </w:rPr>
            </w:pPr>
          </w:p>
        </w:tc>
      </w:tr>
      <w:tr w:rsidR="00294769" w:rsidRPr="00825196" w:rsidTr="0030345E">
        <w:trPr>
          <w:trHeight w:val="794"/>
        </w:trPr>
        <w:tc>
          <w:tcPr>
            <w:tcW w:w="5245" w:type="dxa"/>
          </w:tcPr>
          <w:p w:rsidR="00294769" w:rsidRPr="00D55D95" w:rsidRDefault="00294769" w:rsidP="00294769">
            <w:pPr>
              <w:pStyle w:val="Tablebody"/>
            </w:pPr>
            <w:r>
              <w:rPr>
                <w:noProof/>
              </w:rPr>
              <w:drawing>
                <wp:inline distT="0" distB="0" distL="0" distR="0" wp14:anchorId="3ACB6BD9" wp14:editId="28F53941">
                  <wp:extent cx="2880000" cy="295784"/>
                  <wp:effectExtent l="19050" t="19050" r="15875" b="285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80000" cy="295784"/>
                          </a:xfrm>
                          <a:prstGeom prst="rect">
                            <a:avLst/>
                          </a:prstGeom>
                          <a:ln>
                            <a:solidFill>
                              <a:schemeClr val="bg1">
                                <a:lumMod val="75000"/>
                              </a:schemeClr>
                            </a:solidFill>
                          </a:ln>
                        </pic:spPr>
                      </pic:pic>
                    </a:graphicData>
                  </a:graphic>
                </wp:inline>
              </w:drawing>
            </w:r>
          </w:p>
        </w:tc>
        <w:tc>
          <w:tcPr>
            <w:tcW w:w="4619" w:type="dxa"/>
            <w:shd w:val="clear" w:color="auto" w:fill="EAEAEA"/>
          </w:tcPr>
          <w:p w:rsidR="0011458E" w:rsidRDefault="0011458E" w:rsidP="00294769">
            <w:pPr>
              <w:pStyle w:val="Tablebody"/>
            </w:pPr>
            <w:r>
              <w:t>D</w:t>
            </w:r>
            <w:r w:rsidR="00294769">
              <w:t xml:space="preserve">ate when the risk </w:t>
            </w:r>
            <w:r>
              <w:t>is to be r</w:t>
            </w:r>
            <w:r w:rsidR="00294769">
              <w:t>eviewed</w:t>
            </w:r>
            <w:r>
              <w:t xml:space="preserve">. </w:t>
            </w:r>
            <w:r w:rsidR="00294769">
              <w:t>R</w:t>
            </w:r>
            <w:r>
              <w:t xml:space="preserve">eviewing a risk enables the organisation to assess to what extent the controls that are in place to mitigate the risk are effective and to identify if the organisation’s exposure to the risk is escalating.  </w:t>
            </w:r>
            <w:r w:rsidR="00294769">
              <w:t xml:space="preserve"> </w:t>
            </w:r>
          </w:p>
          <w:p w:rsidR="00294769" w:rsidRPr="00D55D95" w:rsidRDefault="00A90707" w:rsidP="00294769">
            <w:pPr>
              <w:pStyle w:val="Tablebody"/>
            </w:pPr>
            <w:r>
              <w:t xml:space="preserve">ISO 31000 recommends that risks are reviewed within a </w:t>
            </w:r>
            <w:r w:rsidR="0011458E">
              <w:t>12-month</w:t>
            </w:r>
            <w:r>
              <w:t xml:space="preserve"> timeframe.</w:t>
            </w:r>
            <w:r w:rsidR="0011458E">
              <w:t xml:space="preserve"> </w:t>
            </w:r>
            <w:r w:rsidR="006135AC">
              <w:t xml:space="preserve">Frequency of the review needs to be determined in consideration of each risk’s “controlled” risk rating, with those rated at the </w:t>
            </w:r>
            <w:r w:rsidR="0011458E">
              <w:t xml:space="preserve">“extreme” or “high” </w:t>
            </w:r>
            <w:r w:rsidR="006135AC">
              <w:t xml:space="preserve">being </w:t>
            </w:r>
            <w:r w:rsidR="0011458E">
              <w:t>reviewed more frequently</w:t>
            </w:r>
            <w:r w:rsidR="006135AC">
              <w:t>.</w:t>
            </w:r>
          </w:p>
        </w:tc>
      </w:tr>
      <w:tr w:rsidR="00294769" w:rsidRPr="00825196" w:rsidTr="0030345E">
        <w:trPr>
          <w:trHeight w:val="794"/>
        </w:trPr>
        <w:tc>
          <w:tcPr>
            <w:tcW w:w="5245" w:type="dxa"/>
          </w:tcPr>
          <w:p w:rsidR="00294769" w:rsidRDefault="00294769" w:rsidP="00294769">
            <w:pPr>
              <w:pStyle w:val="Tablebody"/>
            </w:pPr>
            <w:r>
              <w:rPr>
                <w:noProof/>
              </w:rPr>
              <w:drawing>
                <wp:inline distT="0" distB="0" distL="0" distR="0" wp14:anchorId="62A228C9" wp14:editId="02038D60">
                  <wp:extent cx="2880000" cy="437468"/>
                  <wp:effectExtent l="19050" t="19050" r="15875" b="203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80000" cy="437468"/>
                          </a:xfrm>
                          <a:prstGeom prst="rect">
                            <a:avLst/>
                          </a:prstGeom>
                          <a:ln>
                            <a:solidFill>
                              <a:schemeClr val="bg1">
                                <a:lumMod val="75000"/>
                              </a:schemeClr>
                            </a:solidFill>
                          </a:ln>
                        </pic:spPr>
                      </pic:pic>
                    </a:graphicData>
                  </a:graphic>
                </wp:inline>
              </w:drawing>
            </w:r>
          </w:p>
        </w:tc>
        <w:tc>
          <w:tcPr>
            <w:tcW w:w="4619" w:type="dxa"/>
            <w:shd w:val="clear" w:color="auto" w:fill="EAEAEA"/>
          </w:tcPr>
          <w:p w:rsidR="00786523" w:rsidRDefault="00786523" w:rsidP="00786523">
            <w:pPr>
              <w:pStyle w:val="Tablebody"/>
            </w:pPr>
            <w:r>
              <w:t xml:space="preserve">Risks are multifaceted, that is they can be related to a range of adverse events. </w:t>
            </w:r>
          </w:p>
          <w:p w:rsidR="00786523" w:rsidRDefault="00786523" w:rsidP="00294769">
            <w:pPr>
              <w:pStyle w:val="Tablebody"/>
            </w:pPr>
          </w:p>
          <w:p w:rsidR="006135AC" w:rsidRDefault="006135AC" w:rsidP="00294769">
            <w:pPr>
              <w:pStyle w:val="Tablebody"/>
            </w:pPr>
            <w:r>
              <w:t xml:space="preserve">To enable the organisation to monitor its exposure to a risk, adverse events that are likely to be an expression of </w:t>
            </w:r>
            <w:r w:rsidR="00786523">
              <w:t>each</w:t>
            </w:r>
            <w:r>
              <w:t xml:space="preserve"> risk can be linked to the</w:t>
            </w:r>
            <w:r w:rsidR="00786523">
              <w:t xml:space="preserve"> respective</w:t>
            </w:r>
            <w:r>
              <w:t xml:space="preserve"> Risk Details Form. For example, needle stick injuries as an incident type can be linked to the risk “infection control mismanagement”.</w:t>
            </w:r>
          </w:p>
          <w:p w:rsidR="006135AC" w:rsidRDefault="006135AC" w:rsidP="00294769">
            <w:pPr>
              <w:pStyle w:val="Tablebody"/>
            </w:pPr>
          </w:p>
          <w:p w:rsidR="006135AC" w:rsidRDefault="006135AC" w:rsidP="00294769">
            <w:pPr>
              <w:pStyle w:val="Tablebody"/>
            </w:pPr>
            <w:r>
              <w:t>When setting up the Risk Details Form, all related incident types and feedback categories can be linked to a risk. Further when a non-conformance is reported through the Improvement Register or a request for a repair is reported through the Repair Register, these events can be linked to an identified risk</w:t>
            </w:r>
            <w:r w:rsidR="00786523">
              <w:t xml:space="preserve"> by the Approving Officer, as part of the “Approve for Action” task</w:t>
            </w:r>
            <w:r>
              <w:t>.</w:t>
            </w:r>
          </w:p>
          <w:p w:rsidR="006135AC" w:rsidRDefault="006135AC" w:rsidP="00294769">
            <w:pPr>
              <w:pStyle w:val="Tablebody"/>
            </w:pPr>
          </w:p>
          <w:p w:rsidR="00294769" w:rsidRPr="00D55D95" w:rsidRDefault="006135AC" w:rsidP="00294769">
            <w:pPr>
              <w:pStyle w:val="Tablebody"/>
            </w:pPr>
            <w:r>
              <w:t xml:space="preserve">Each time an </w:t>
            </w:r>
            <w:r w:rsidR="00786523">
              <w:t xml:space="preserve">event is linked to </w:t>
            </w:r>
            <w:r>
              <w:t>a</w:t>
            </w:r>
            <w:r w:rsidR="00786523">
              <w:t>n identified risk</w:t>
            </w:r>
            <w:r>
              <w:t xml:space="preserve">, </w:t>
            </w:r>
            <w:r w:rsidR="00294769">
              <w:t xml:space="preserve">LOGIQC </w:t>
            </w:r>
            <w:r>
              <w:t xml:space="preserve">will add the details to the </w:t>
            </w:r>
            <w:r w:rsidR="00786523">
              <w:t>Risk Management Plan. LOGIQC will also keep a count of the number of events that have been linked. When the number exceeds the Risk Occurrence Threshold which has been set on the RDF</w:t>
            </w:r>
            <w:r w:rsidR="00294769">
              <w:t xml:space="preserve">, LOGIQC will send a task to the risk manager notifying that the risk needs to be reviewed. </w:t>
            </w:r>
          </w:p>
        </w:tc>
      </w:tr>
      <w:tr w:rsidR="00294769" w:rsidRPr="00825196" w:rsidTr="0030345E">
        <w:trPr>
          <w:trHeight w:val="331"/>
        </w:trPr>
        <w:tc>
          <w:tcPr>
            <w:tcW w:w="5245" w:type="dxa"/>
          </w:tcPr>
          <w:p w:rsidR="00294769" w:rsidRDefault="00294769" w:rsidP="00294769">
            <w:pPr>
              <w:pStyle w:val="Tablebody"/>
              <w:rPr>
                <w:noProof/>
              </w:rPr>
            </w:pPr>
            <w:r>
              <w:rPr>
                <w:noProof/>
              </w:rPr>
              <w:drawing>
                <wp:inline distT="0" distB="0" distL="0" distR="0" wp14:anchorId="223331BC" wp14:editId="2107CB92">
                  <wp:extent cx="2880000" cy="246557"/>
                  <wp:effectExtent l="19050" t="19050" r="15875" b="203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880000" cy="246557"/>
                          </a:xfrm>
                          <a:prstGeom prst="rect">
                            <a:avLst/>
                          </a:prstGeom>
                          <a:ln>
                            <a:solidFill>
                              <a:schemeClr val="bg1">
                                <a:lumMod val="75000"/>
                              </a:schemeClr>
                            </a:solidFill>
                          </a:ln>
                        </pic:spPr>
                      </pic:pic>
                    </a:graphicData>
                  </a:graphic>
                </wp:inline>
              </w:drawing>
            </w:r>
          </w:p>
        </w:tc>
        <w:tc>
          <w:tcPr>
            <w:tcW w:w="4619" w:type="dxa"/>
            <w:shd w:val="clear" w:color="auto" w:fill="EAEAEA"/>
          </w:tcPr>
          <w:p w:rsidR="00294769" w:rsidRDefault="00294769" w:rsidP="00294769">
            <w:pPr>
              <w:pStyle w:val="Tablebody"/>
            </w:pPr>
            <w:r w:rsidRPr="00D55D95">
              <w:t xml:space="preserve">Select the work area that the </w:t>
            </w:r>
            <w:r>
              <w:t>risk</w:t>
            </w:r>
            <w:r w:rsidRPr="00D55D95">
              <w:t xml:space="preserve"> most relates to.</w:t>
            </w:r>
          </w:p>
        </w:tc>
      </w:tr>
      <w:tr w:rsidR="00294769" w:rsidRPr="00825196" w:rsidTr="0030345E">
        <w:trPr>
          <w:trHeight w:val="241"/>
        </w:trPr>
        <w:tc>
          <w:tcPr>
            <w:tcW w:w="5245" w:type="dxa"/>
          </w:tcPr>
          <w:p w:rsidR="00294769" w:rsidRDefault="00294769" w:rsidP="00294769">
            <w:pPr>
              <w:pStyle w:val="Tablebody"/>
              <w:rPr>
                <w:noProof/>
              </w:rPr>
            </w:pPr>
            <w:r w:rsidRPr="00E03095">
              <w:rPr>
                <w:noProof/>
                <w:szCs w:val="18"/>
              </w:rPr>
              <w:drawing>
                <wp:inline distT="0" distB="0" distL="0" distR="0" wp14:anchorId="6FAD41BC" wp14:editId="64BFB471">
                  <wp:extent cx="2880000" cy="251345"/>
                  <wp:effectExtent l="19050" t="19050" r="15875" b="158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880000" cy="251345"/>
                          </a:xfrm>
                          <a:prstGeom prst="rect">
                            <a:avLst/>
                          </a:prstGeom>
                          <a:ln>
                            <a:solidFill>
                              <a:schemeClr val="bg1">
                                <a:lumMod val="75000"/>
                              </a:schemeClr>
                            </a:solidFill>
                          </a:ln>
                        </pic:spPr>
                      </pic:pic>
                    </a:graphicData>
                  </a:graphic>
                </wp:inline>
              </w:drawing>
            </w:r>
          </w:p>
        </w:tc>
        <w:tc>
          <w:tcPr>
            <w:tcW w:w="4619" w:type="dxa"/>
            <w:shd w:val="clear" w:color="auto" w:fill="EAEAEA"/>
          </w:tcPr>
          <w:p w:rsidR="00294769" w:rsidRPr="00D55D95" w:rsidRDefault="00294769" w:rsidP="00294769">
            <w:pPr>
              <w:pStyle w:val="Tablebody"/>
            </w:pPr>
            <w:r w:rsidRPr="00D55D95">
              <w:t xml:space="preserve">Select the </w:t>
            </w:r>
            <w:r w:rsidR="00786523">
              <w:t>meeting that has responsibility for oversight of the management of the risk</w:t>
            </w:r>
            <w:r w:rsidRPr="00D55D95">
              <w:t>.</w:t>
            </w:r>
          </w:p>
        </w:tc>
      </w:tr>
      <w:tr w:rsidR="00294769" w:rsidRPr="00825196" w:rsidTr="0030345E">
        <w:trPr>
          <w:trHeight w:val="794"/>
        </w:trPr>
        <w:tc>
          <w:tcPr>
            <w:tcW w:w="5245" w:type="dxa"/>
          </w:tcPr>
          <w:p w:rsidR="00294769" w:rsidRDefault="00294769" w:rsidP="00294769">
            <w:pPr>
              <w:pStyle w:val="Tablebody"/>
              <w:rPr>
                <w:noProof/>
              </w:rPr>
            </w:pPr>
            <w:r>
              <w:rPr>
                <w:noProof/>
              </w:rPr>
              <w:drawing>
                <wp:inline distT="0" distB="0" distL="0" distR="0" wp14:anchorId="2BD4F552" wp14:editId="23D41C03">
                  <wp:extent cx="2880000" cy="215868"/>
                  <wp:effectExtent l="19050" t="19050" r="15875" b="133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880000" cy="215868"/>
                          </a:xfrm>
                          <a:prstGeom prst="rect">
                            <a:avLst/>
                          </a:prstGeom>
                          <a:ln>
                            <a:solidFill>
                              <a:schemeClr val="bg1">
                                <a:lumMod val="75000"/>
                              </a:schemeClr>
                            </a:solidFill>
                          </a:ln>
                        </pic:spPr>
                      </pic:pic>
                    </a:graphicData>
                  </a:graphic>
                </wp:inline>
              </w:drawing>
            </w:r>
          </w:p>
        </w:tc>
        <w:tc>
          <w:tcPr>
            <w:tcW w:w="4619" w:type="dxa"/>
            <w:shd w:val="clear" w:color="auto" w:fill="EAEAEA"/>
          </w:tcPr>
          <w:p w:rsidR="00294769" w:rsidRPr="00D55D95" w:rsidRDefault="00294769" w:rsidP="00294769">
            <w:pPr>
              <w:pStyle w:val="Tablebody"/>
            </w:pPr>
            <w:r>
              <w:t xml:space="preserve">Select the person </w:t>
            </w:r>
            <w:r w:rsidR="00786523">
              <w:t>who has responsibility for managing the risk. The Risk Manager will be notified when the risk is to be reviewed, which could result from the risk review date being reached or when the Risk Occurrence Threshold has been exceeded</w:t>
            </w:r>
            <w:r>
              <w:t>.</w:t>
            </w:r>
          </w:p>
        </w:tc>
      </w:tr>
      <w:tr w:rsidR="00294769" w:rsidRPr="00825196" w:rsidTr="0030345E">
        <w:trPr>
          <w:trHeight w:val="462"/>
        </w:trPr>
        <w:tc>
          <w:tcPr>
            <w:tcW w:w="5245" w:type="dxa"/>
          </w:tcPr>
          <w:p w:rsidR="00294769" w:rsidRDefault="00294769" w:rsidP="00294769">
            <w:pPr>
              <w:pStyle w:val="Tablebody"/>
              <w:rPr>
                <w:noProof/>
              </w:rPr>
            </w:pPr>
            <w:r w:rsidRPr="00E03095">
              <w:rPr>
                <w:noProof/>
                <w:szCs w:val="18"/>
              </w:rPr>
              <w:drawing>
                <wp:inline distT="0" distB="0" distL="0" distR="0" wp14:anchorId="33E3AC89" wp14:editId="405EE3C1">
                  <wp:extent cx="2880000" cy="225985"/>
                  <wp:effectExtent l="19050" t="19050" r="15875" b="222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880000" cy="225985"/>
                          </a:xfrm>
                          <a:prstGeom prst="rect">
                            <a:avLst/>
                          </a:prstGeom>
                          <a:ln>
                            <a:solidFill>
                              <a:schemeClr val="bg1">
                                <a:lumMod val="75000"/>
                              </a:schemeClr>
                            </a:solidFill>
                          </a:ln>
                        </pic:spPr>
                      </pic:pic>
                    </a:graphicData>
                  </a:graphic>
                </wp:inline>
              </w:drawing>
            </w:r>
          </w:p>
        </w:tc>
        <w:tc>
          <w:tcPr>
            <w:tcW w:w="4619" w:type="dxa"/>
            <w:shd w:val="clear" w:color="auto" w:fill="EAEAEA"/>
          </w:tcPr>
          <w:p w:rsidR="00294769" w:rsidRDefault="00294769" w:rsidP="00294769">
            <w:pPr>
              <w:pStyle w:val="Tablebody"/>
            </w:pPr>
            <w:r>
              <w:t xml:space="preserve">Select the person who has the authority to approve that the risk is published to the risk register. </w:t>
            </w:r>
          </w:p>
        </w:tc>
      </w:tr>
      <w:tr w:rsidR="00294769" w:rsidRPr="00825196" w:rsidTr="0030345E">
        <w:trPr>
          <w:trHeight w:val="203"/>
        </w:trPr>
        <w:tc>
          <w:tcPr>
            <w:tcW w:w="5245" w:type="dxa"/>
          </w:tcPr>
          <w:p w:rsidR="00294769" w:rsidRPr="00E03095" w:rsidRDefault="00294769" w:rsidP="00294769">
            <w:pPr>
              <w:pStyle w:val="Tablebody"/>
              <w:rPr>
                <w:noProof/>
                <w:szCs w:val="18"/>
              </w:rPr>
            </w:pPr>
            <w:r>
              <w:rPr>
                <w:noProof/>
              </w:rPr>
              <w:drawing>
                <wp:inline distT="0" distB="0" distL="0" distR="0" wp14:anchorId="6279CD31" wp14:editId="57C95648">
                  <wp:extent cx="2876535" cy="341906"/>
                  <wp:effectExtent l="19050" t="19050" r="19685" b="203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t="-1" b="46659"/>
                          <a:stretch/>
                        </pic:blipFill>
                        <pic:spPr bwMode="auto">
                          <a:xfrm>
                            <a:off x="0" y="0"/>
                            <a:ext cx="2880000" cy="342318"/>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619" w:type="dxa"/>
            <w:shd w:val="clear" w:color="auto" w:fill="EAEAEA"/>
          </w:tcPr>
          <w:p w:rsidR="00294769" w:rsidRDefault="00294769" w:rsidP="00294769">
            <w:pPr>
              <w:pStyle w:val="Tablebody"/>
            </w:pPr>
            <w:r w:rsidRPr="00BA4F29">
              <w:t xml:space="preserve">Enter any comment relevant to </w:t>
            </w:r>
            <w:r>
              <w:t>the risk. This field is optional.</w:t>
            </w:r>
          </w:p>
        </w:tc>
      </w:tr>
    </w:tbl>
    <w:p w:rsidR="002D4B63" w:rsidRDefault="002D4B63" w:rsidP="002D4B63"/>
    <w:p w:rsidR="002D4B63" w:rsidRDefault="007720E0" w:rsidP="00D31EE1">
      <w:pPr>
        <w:pStyle w:val="ListParagraph"/>
        <w:numPr>
          <w:ilvl w:val="1"/>
          <w:numId w:val="2"/>
        </w:numPr>
        <w:spacing w:after="0"/>
        <w:ind w:left="463" w:hanging="425"/>
        <w:rPr>
          <w:b/>
        </w:rPr>
      </w:pPr>
      <w:r>
        <w:rPr>
          <w:b/>
        </w:rPr>
        <w:br w:type="page"/>
      </w:r>
      <w:r w:rsidR="00FD3628">
        <w:rPr>
          <w:b/>
        </w:rPr>
        <w:lastRenderedPageBreak/>
        <w:t>How to save the draft details form</w:t>
      </w:r>
    </w:p>
    <w:p w:rsidR="00D31EE1" w:rsidRDefault="00D31EE1" w:rsidP="00D31EE1">
      <w:pPr>
        <w:pStyle w:val="ListParagraph"/>
        <w:spacing w:line="320" w:lineRule="exact"/>
        <w:ind w:left="0"/>
        <w:contextualSpacing w:val="0"/>
      </w:pPr>
      <w:r>
        <w:t>Click “</w:t>
      </w:r>
      <w:r>
        <w:rPr>
          <w:b/>
        </w:rPr>
        <w:t>Save as Draft</w:t>
      </w:r>
      <w:r>
        <w:t xml:space="preserve">” to save the draft form to continue working on the form. </w:t>
      </w:r>
      <w:r w:rsidRPr="00D31EE1">
        <w:rPr>
          <w:b/>
        </w:rPr>
        <w:t>Note:</w:t>
      </w:r>
      <w:r>
        <w:t xml:space="preserve"> You cannot select any one to manage the risk, enter a review date or add mitigation actions when saving the risk as a draft.  </w:t>
      </w:r>
    </w:p>
    <w:p w:rsidR="00D31EE1" w:rsidRDefault="00D31EE1" w:rsidP="00D31EE1">
      <w:pPr>
        <w:pStyle w:val="ListParagraph"/>
        <w:ind w:left="0" w:firstLine="720"/>
        <w:rPr>
          <w:i/>
        </w:rPr>
      </w:pPr>
      <w:r>
        <w:rPr>
          <w:i/>
        </w:rPr>
        <w:t xml:space="preserve">Or </w:t>
      </w:r>
    </w:p>
    <w:p w:rsidR="00FD3628" w:rsidRDefault="00FD3628" w:rsidP="00D31EE1">
      <w:pPr>
        <w:pStyle w:val="ListParagraph"/>
        <w:spacing w:line="320" w:lineRule="exact"/>
        <w:ind w:left="0"/>
        <w:contextualSpacing w:val="0"/>
        <w:rPr>
          <w:rFonts w:asciiTheme="minorHAnsi" w:hAnsiTheme="minorHAnsi"/>
        </w:rPr>
      </w:pPr>
      <w:r>
        <w:t>Click “</w:t>
      </w:r>
      <w:r>
        <w:rPr>
          <w:b/>
        </w:rPr>
        <w:t>Save</w:t>
      </w:r>
      <w:r>
        <w:t>” to submit the draft form into the requirements tab and put the details form into the review workflow</w:t>
      </w:r>
    </w:p>
    <w:p w:rsidR="00FD3628" w:rsidRDefault="00FD3628" w:rsidP="00D31EE1">
      <w:pPr>
        <w:pStyle w:val="ListParagraph"/>
        <w:ind w:left="0" w:firstLine="720"/>
        <w:rPr>
          <w:i/>
        </w:rPr>
      </w:pPr>
      <w:r>
        <w:rPr>
          <w:i/>
        </w:rPr>
        <w:t xml:space="preserve">Or </w:t>
      </w:r>
    </w:p>
    <w:p w:rsidR="00FD3628" w:rsidRDefault="00FD3628" w:rsidP="00D31EE1">
      <w:pPr>
        <w:pStyle w:val="ListParagraph"/>
        <w:ind w:left="0"/>
      </w:pPr>
      <w:r>
        <w:t>Click “</w:t>
      </w:r>
      <w:r>
        <w:rPr>
          <w:b/>
        </w:rPr>
        <w:t>Save and Approve</w:t>
      </w:r>
      <w:r>
        <w:t>” to submit the draft form into the requirements tab approved. This form will come up for review based on the review date.</w:t>
      </w:r>
    </w:p>
    <w:p w:rsidR="0030345E" w:rsidRDefault="0030345E" w:rsidP="00FD3628">
      <w:pPr>
        <w:pStyle w:val="ListParagraph"/>
      </w:pPr>
    </w:p>
    <w:p w:rsidR="0030345E" w:rsidRDefault="007D70E0" w:rsidP="00964B3B">
      <w:pPr>
        <w:pStyle w:val="Heading2"/>
        <w:numPr>
          <w:ilvl w:val="0"/>
          <w:numId w:val="2"/>
        </w:numPr>
      </w:pPr>
      <w:bookmarkStart w:id="13" w:name="_Toc504736062"/>
      <w:r>
        <w:t>Risk Treatment actions</w:t>
      </w:r>
      <w:bookmarkEnd w:id="13"/>
      <w:r>
        <w:t xml:space="preserve">  </w:t>
      </w:r>
    </w:p>
    <w:p w:rsidR="00A314B3" w:rsidRDefault="007D70E0" w:rsidP="00725C28">
      <w:r>
        <w:t xml:space="preserve">The risk treatment section of the </w:t>
      </w:r>
      <w:r w:rsidR="00A314B3">
        <w:t>R</w:t>
      </w:r>
      <w:r>
        <w:t xml:space="preserve">isk </w:t>
      </w:r>
      <w:r w:rsidR="00A314B3">
        <w:t>D</w:t>
      </w:r>
      <w:r>
        <w:t xml:space="preserve">etails </w:t>
      </w:r>
      <w:r w:rsidR="00A314B3">
        <w:t>F</w:t>
      </w:r>
      <w:r>
        <w:t xml:space="preserve">orm allows a user to identify actions that could be completed to further control and mitigate </w:t>
      </w:r>
      <w:r w:rsidR="00A314B3">
        <w:t>a</w:t>
      </w:r>
      <w:r>
        <w:t xml:space="preserve"> risk from occurring or reduce the consequence</w:t>
      </w:r>
      <w:r w:rsidR="00A314B3">
        <w:t>, if the risk occurred</w:t>
      </w:r>
      <w:r>
        <w:t xml:space="preserve">. </w:t>
      </w:r>
      <w:r w:rsidR="00725C28" w:rsidRPr="007D70E0">
        <w:t xml:space="preserve">The risk mitigation actions are </w:t>
      </w:r>
      <w:r w:rsidR="00A314B3">
        <w:t>added</w:t>
      </w:r>
      <w:r w:rsidR="00725C28" w:rsidRPr="007D70E0">
        <w:t xml:space="preserve"> at the bottom of the </w:t>
      </w:r>
      <w:r w:rsidR="00A314B3">
        <w:t>Risk Details Form</w:t>
      </w:r>
      <w:r w:rsidR="00725C28" w:rsidRPr="007D70E0">
        <w:t>.</w:t>
      </w:r>
      <w:r w:rsidR="00725C28">
        <w:t xml:space="preserve"> </w:t>
      </w:r>
    </w:p>
    <w:p w:rsidR="00A314B3" w:rsidRDefault="00A314B3" w:rsidP="00725C28">
      <w:r>
        <w:t>Examples of risk mitigation actions are:</w:t>
      </w:r>
    </w:p>
    <w:p w:rsidR="00725C28" w:rsidRDefault="00A314B3" w:rsidP="00A314B3">
      <w:pPr>
        <w:pStyle w:val="ListParagraph"/>
        <w:numPr>
          <w:ilvl w:val="0"/>
          <w:numId w:val="4"/>
        </w:numPr>
        <w:spacing w:after="60" w:line="240" w:lineRule="auto"/>
        <w:ind w:left="357" w:hanging="357"/>
        <w:contextualSpacing w:val="0"/>
        <w:jc w:val="both"/>
      </w:pPr>
      <w:r>
        <w:t>Draft a procedure for responding to needle stick injuries</w:t>
      </w:r>
    </w:p>
    <w:p w:rsidR="00A314B3" w:rsidRDefault="00A314B3" w:rsidP="00A314B3">
      <w:pPr>
        <w:pStyle w:val="ListParagraph"/>
        <w:numPr>
          <w:ilvl w:val="0"/>
          <w:numId w:val="4"/>
        </w:numPr>
        <w:spacing w:after="60" w:line="240" w:lineRule="auto"/>
        <w:ind w:left="357" w:hanging="357"/>
        <w:contextualSpacing w:val="0"/>
        <w:jc w:val="both"/>
      </w:pPr>
      <w:r>
        <w:t>Provide training to staff on the management of the exposure to blood and other body fluids and the requirement to report all instances on the Incident Register</w:t>
      </w:r>
    </w:p>
    <w:p w:rsidR="00A314B3" w:rsidRDefault="00A314B3" w:rsidP="00A314B3">
      <w:pPr>
        <w:pStyle w:val="ListParagraph"/>
        <w:numPr>
          <w:ilvl w:val="0"/>
          <w:numId w:val="4"/>
        </w:numPr>
        <w:spacing w:after="60" w:line="240" w:lineRule="auto"/>
        <w:ind w:left="357" w:hanging="357"/>
        <w:contextualSpacing w:val="0"/>
        <w:jc w:val="both"/>
      </w:pPr>
      <w:r>
        <w:t>Conduct an internal audit of compliance with infection control procedures</w:t>
      </w:r>
    </w:p>
    <w:p w:rsidR="00A314B3" w:rsidRDefault="00A314B3" w:rsidP="00A314B3">
      <w:pPr>
        <w:spacing w:after="60" w:line="240" w:lineRule="auto"/>
        <w:jc w:val="both"/>
      </w:pPr>
    </w:p>
    <w:p w:rsidR="00A314B3" w:rsidRDefault="00A314B3" w:rsidP="00A314B3">
      <w:pPr>
        <w:spacing w:after="60" w:line="240" w:lineRule="auto"/>
        <w:jc w:val="both"/>
      </w:pPr>
      <w:r>
        <w:t>When a risk treatment action has been added to a Risk Details Form, LOGIQC will advised the staff member assigned to complete the action will be advised of the task via email</w:t>
      </w:r>
      <w:r w:rsidR="00882A92">
        <w:t xml:space="preserve">. If the risk treatment action has not been signed off as completed by the due date, LOGIQC will send a reminder email, at a frequency set by the Administrator in system setup. </w:t>
      </w:r>
    </w:p>
    <w:p w:rsidR="00A314B3" w:rsidRDefault="00A314B3" w:rsidP="00A314B3">
      <w:pPr>
        <w:pStyle w:val="ListParagraph"/>
        <w:spacing w:after="60" w:line="240" w:lineRule="auto"/>
        <w:ind w:left="357"/>
        <w:contextualSpacing w:val="0"/>
        <w:jc w:val="both"/>
      </w:pPr>
    </w:p>
    <w:p w:rsidR="007D70E0" w:rsidRDefault="007D70E0" w:rsidP="00964B3B">
      <w:pPr>
        <w:pStyle w:val="ListParagraph"/>
        <w:numPr>
          <w:ilvl w:val="1"/>
          <w:numId w:val="2"/>
        </w:numPr>
        <w:ind w:left="788" w:hanging="431"/>
        <w:rPr>
          <w:b/>
        </w:rPr>
      </w:pPr>
      <w:r w:rsidRPr="007D70E0">
        <w:rPr>
          <w:b/>
        </w:rPr>
        <w:t xml:space="preserve">How to view </w:t>
      </w:r>
      <w:r>
        <w:rPr>
          <w:b/>
        </w:rPr>
        <w:t>r</w:t>
      </w:r>
      <w:r w:rsidRPr="007D70E0">
        <w:rPr>
          <w:b/>
        </w:rPr>
        <w:t xml:space="preserve">isk mitigation actions </w:t>
      </w:r>
    </w:p>
    <w:p w:rsidR="00725C28" w:rsidRDefault="007D70E0" w:rsidP="00725C28">
      <w:pPr>
        <w:ind w:left="788"/>
      </w:pPr>
      <w:r w:rsidRPr="007D70E0">
        <w:t xml:space="preserve">The risk mitigation actions </w:t>
      </w:r>
      <w:r w:rsidR="00882A92">
        <w:t>are</w:t>
      </w:r>
      <w:r w:rsidRPr="007D70E0">
        <w:t xml:space="preserve"> managed at the bottom of the </w:t>
      </w:r>
      <w:r w:rsidR="00A314B3">
        <w:t>Risk Details Form</w:t>
      </w:r>
      <w:r w:rsidRPr="007D70E0">
        <w:t>.</w:t>
      </w:r>
      <w:r w:rsidR="00725C28">
        <w:t xml:space="preserve"> </w:t>
      </w:r>
      <w:r w:rsidR="00725C28" w:rsidRPr="00725C28">
        <w:t xml:space="preserve">All risk mitigation actions will also be automatically listed on the </w:t>
      </w:r>
      <w:r w:rsidR="00882A92" w:rsidRPr="00725C28">
        <w:t xml:space="preserve">Risk Mitigation Actions </w:t>
      </w:r>
      <w:r w:rsidR="00725C28" w:rsidRPr="00725C28">
        <w:t xml:space="preserve">tab on the </w:t>
      </w:r>
      <w:r w:rsidR="00882A92" w:rsidRPr="00725C28">
        <w:t>Risk Module</w:t>
      </w:r>
      <w:r w:rsidR="00725C28">
        <w:t>. Th</w:t>
      </w:r>
      <w:r w:rsidR="00882A92">
        <w:t>e Risk Mitigation Action Plan</w:t>
      </w:r>
      <w:r w:rsidR="00725C28">
        <w:t xml:space="preserve"> will display all mitigation actions </w:t>
      </w:r>
      <w:r w:rsidR="00882A92">
        <w:t>relating</w:t>
      </w:r>
      <w:r w:rsidR="00725C28">
        <w:t xml:space="preserve"> to </w:t>
      </w:r>
      <w:r w:rsidR="00882A92">
        <w:t>each</w:t>
      </w:r>
      <w:r w:rsidR="00725C28">
        <w:t xml:space="preserve"> identified </w:t>
      </w:r>
      <w:proofErr w:type="gramStart"/>
      <w:r w:rsidR="00725C28">
        <w:t>risks</w:t>
      </w:r>
      <w:proofErr w:type="gramEnd"/>
      <w:r w:rsidR="00725C28">
        <w:t xml:space="preserve"> as well as information about the status, due date and </w:t>
      </w:r>
      <w:r w:rsidR="00882A92">
        <w:t>the staff member who is required to undertake the action (</w:t>
      </w:r>
      <w:r w:rsidR="00D31EE1">
        <w:t>a</w:t>
      </w:r>
      <w:r w:rsidR="00882A92">
        <w:t xml:space="preserve">ction </w:t>
      </w:r>
      <w:r w:rsidR="00D31EE1">
        <w:t>o</w:t>
      </w:r>
      <w:r w:rsidR="00882A92">
        <w:t>fficer).</w:t>
      </w:r>
      <w:r w:rsidR="00725C28">
        <w:t xml:space="preserve">  </w:t>
      </w:r>
    </w:p>
    <w:p w:rsidR="007D70E0" w:rsidRDefault="00725C28" w:rsidP="007D70E0">
      <w:pPr>
        <w:pStyle w:val="ListParagraph"/>
        <w:ind w:left="792"/>
      </w:pPr>
      <w:r>
        <w:t>To view a risk mitigation action, click on the title of the identified risk. This will take you to the</w:t>
      </w:r>
      <w:r w:rsidR="008B02A0">
        <w:t xml:space="preserve"> respective</w:t>
      </w:r>
      <w:r>
        <w:t xml:space="preserve"> Risk </w:t>
      </w:r>
      <w:r w:rsidR="008B02A0">
        <w:t xml:space="preserve">Details Form </w:t>
      </w:r>
      <w:r>
        <w:t>that the mitigation action relates to</w:t>
      </w:r>
      <w:r w:rsidR="008B02A0">
        <w:t>, thereby providing a full context as to why the risk mitigation action is required.</w:t>
      </w:r>
    </w:p>
    <w:p w:rsidR="00725C28" w:rsidRDefault="00725C28" w:rsidP="007D70E0">
      <w:pPr>
        <w:pStyle w:val="ListParagraph"/>
        <w:ind w:left="792"/>
      </w:pPr>
    </w:p>
    <w:p w:rsidR="00725C28" w:rsidRDefault="00725C28" w:rsidP="007D70E0">
      <w:pPr>
        <w:pStyle w:val="ListParagraph"/>
        <w:ind w:left="792"/>
      </w:pPr>
      <w:r>
        <w:rPr>
          <w:noProof/>
        </w:rPr>
        <w:drawing>
          <wp:inline distT="0" distB="0" distL="0" distR="0" wp14:anchorId="07D0A1F2" wp14:editId="7442E475">
            <wp:extent cx="6111072" cy="1098895"/>
            <wp:effectExtent l="0" t="0" r="4445"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35187" cy="1103231"/>
                    </a:xfrm>
                    <a:prstGeom prst="rect">
                      <a:avLst/>
                    </a:prstGeom>
                  </pic:spPr>
                </pic:pic>
              </a:graphicData>
            </a:graphic>
          </wp:inline>
        </w:drawing>
      </w:r>
    </w:p>
    <w:p w:rsidR="00725C28" w:rsidRPr="007D70E0" w:rsidRDefault="00725C28" w:rsidP="007D70E0">
      <w:pPr>
        <w:pStyle w:val="ListParagraph"/>
        <w:ind w:left="792"/>
      </w:pPr>
    </w:p>
    <w:p w:rsidR="008B02A0" w:rsidRDefault="008B02A0">
      <w:pPr>
        <w:spacing w:after="200"/>
        <w:rPr>
          <w:b/>
        </w:rPr>
      </w:pPr>
      <w:r>
        <w:rPr>
          <w:b/>
        </w:rPr>
        <w:br w:type="page"/>
      </w:r>
    </w:p>
    <w:p w:rsidR="007D70E0" w:rsidRDefault="007D70E0" w:rsidP="00964B3B">
      <w:pPr>
        <w:pStyle w:val="ListParagraph"/>
        <w:numPr>
          <w:ilvl w:val="1"/>
          <w:numId w:val="2"/>
        </w:numPr>
        <w:ind w:left="788" w:hanging="431"/>
        <w:rPr>
          <w:b/>
        </w:rPr>
      </w:pPr>
      <w:r w:rsidRPr="007D70E0">
        <w:rPr>
          <w:b/>
        </w:rPr>
        <w:lastRenderedPageBreak/>
        <w:t>How to complete risk</w:t>
      </w:r>
      <w:r>
        <w:rPr>
          <w:b/>
        </w:rPr>
        <w:t xml:space="preserve"> </w:t>
      </w:r>
      <w:r w:rsidRPr="007D70E0">
        <w:rPr>
          <w:b/>
        </w:rPr>
        <w:t>mitigation</w:t>
      </w:r>
      <w:r>
        <w:rPr>
          <w:b/>
        </w:rPr>
        <w:t xml:space="preserve"> actions</w:t>
      </w:r>
      <w:r w:rsidRPr="007D70E0">
        <w:rPr>
          <w:b/>
        </w:rPr>
        <w:t xml:space="preserve"> </w:t>
      </w:r>
    </w:p>
    <w:p w:rsidR="00CD3258" w:rsidRPr="00CD3258" w:rsidRDefault="00725C28" w:rsidP="00CD3258">
      <w:pPr>
        <w:ind w:left="792"/>
      </w:pPr>
      <w:r>
        <w:t xml:space="preserve">Click on the title of the </w:t>
      </w:r>
      <w:r w:rsidR="008B02A0">
        <w:t>identified risk the risk mitigation</w:t>
      </w:r>
      <w:r>
        <w:t xml:space="preserve"> action </w:t>
      </w:r>
      <w:r w:rsidR="008B02A0">
        <w:t>relates to</w:t>
      </w:r>
      <w:r>
        <w:t>. The action tasks will display at the bottom of the details form.</w:t>
      </w:r>
      <w:r w:rsidR="00CD3258" w:rsidRPr="00CD3258">
        <w:t xml:space="preserve"> </w:t>
      </w:r>
    </w:p>
    <w:p w:rsidR="00725C28" w:rsidRDefault="00725C28" w:rsidP="00725C28">
      <w:pPr>
        <w:ind w:left="792"/>
      </w:pPr>
      <w:r>
        <w:rPr>
          <w:noProof/>
        </w:rPr>
        <w:drawing>
          <wp:inline distT="0" distB="0" distL="0" distR="0" wp14:anchorId="5115CFA5" wp14:editId="4CCBC402">
            <wp:extent cx="6102446" cy="1373138"/>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127329" cy="1378737"/>
                    </a:xfrm>
                    <a:prstGeom prst="rect">
                      <a:avLst/>
                    </a:prstGeom>
                  </pic:spPr>
                </pic:pic>
              </a:graphicData>
            </a:graphic>
          </wp:inline>
        </w:drawing>
      </w:r>
    </w:p>
    <w:p w:rsidR="00517E82" w:rsidRDefault="00725C28" w:rsidP="00517E82">
      <w:pPr>
        <w:ind w:left="792"/>
      </w:pPr>
      <w:r w:rsidRPr="00725C28">
        <w:t>Once the action has been complete</w:t>
      </w:r>
      <w:r>
        <w:t>d</w:t>
      </w:r>
      <w:r w:rsidRPr="00725C28">
        <w:t xml:space="preserve">, </w:t>
      </w:r>
      <w:r w:rsidR="008B02A0">
        <w:t>change the status of the task to “Action Completed”</w:t>
      </w:r>
      <w:r w:rsidR="00517E82">
        <w:t>, if applicable</w:t>
      </w:r>
      <w:r w:rsidR="008B02A0">
        <w:t xml:space="preserve">. Where the evidence of the action taken has been added to the LOGIQC QMS, </w:t>
      </w:r>
      <w:r w:rsidRPr="00725C28">
        <w:t>link</w:t>
      </w:r>
      <w:r w:rsidR="008B02A0">
        <w:t xml:space="preserve"> </w:t>
      </w:r>
      <w:r w:rsidRPr="00725C28">
        <w:t>the</w:t>
      </w:r>
      <w:r w:rsidR="008B02A0">
        <w:t xml:space="preserve"> relevant evidence to the </w:t>
      </w:r>
      <w:r w:rsidR="00FE042B">
        <w:t xml:space="preserve">controls section of the </w:t>
      </w:r>
      <w:r w:rsidR="008B02A0">
        <w:t>risk. For example, if the action required a procedure to be added to the Document Register,</w:t>
      </w:r>
      <w:r w:rsidR="00517E82">
        <w:t xml:space="preserve"> and this document has been added to the Document Register and has been approved, select the document in the “Document” field. </w:t>
      </w:r>
    </w:p>
    <w:p w:rsidR="008B02A0" w:rsidRDefault="008B02A0" w:rsidP="00CD3258">
      <w:pPr>
        <w:ind w:left="792"/>
      </w:pPr>
      <w:r>
        <w:rPr>
          <w:noProof/>
        </w:rPr>
        <w:drawing>
          <wp:inline distT="0" distB="0" distL="0" distR="0" wp14:anchorId="605064B9" wp14:editId="2E556BDE">
            <wp:extent cx="6143625" cy="647644"/>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229067" cy="656651"/>
                    </a:xfrm>
                    <a:prstGeom prst="rect">
                      <a:avLst/>
                    </a:prstGeom>
                  </pic:spPr>
                </pic:pic>
              </a:graphicData>
            </a:graphic>
          </wp:inline>
        </w:drawing>
      </w:r>
    </w:p>
    <w:p w:rsidR="008B02A0" w:rsidRPr="00CD3258" w:rsidRDefault="008B02A0" w:rsidP="00CD3258">
      <w:pPr>
        <w:ind w:left="792"/>
      </w:pPr>
    </w:p>
    <w:p w:rsidR="0030345E" w:rsidRDefault="0030345E" w:rsidP="00964B3B">
      <w:pPr>
        <w:pStyle w:val="ListParagraph"/>
        <w:numPr>
          <w:ilvl w:val="1"/>
          <w:numId w:val="2"/>
        </w:numPr>
        <w:ind w:left="788" w:hanging="431"/>
        <w:rPr>
          <w:b/>
        </w:rPr>
      </w:pPr>
      <w:r w:rsidRPr="007D70E0">
        <w:rPr>
          <w:b/>
        </w:rPr>
        <w:t>How to approve/close a risk mitigation action</w:t>
      </w:r>
      <w:r w:rsidR="007D70E0">
        <w:rPr>
          <w:b/>
        </w:rPr>
        <w:t>s</w:t>
      </w:r>
    </w:p>
    <w:p w:rsidR="007D70E0" w:rsidRPr="00225A64" w:rsidRDefault="00CD3258" w:rsidP="00225A64">
      <w:pPr>
        <w:ind w:left="792"/>
      </w:pPr>
      <w:r>
        <w:t xml:space="preserve">The </w:t>
      </w:r>
      <w:r w:rsidR="00517E82">
        <w:t xml:space="preserve">Risk Manager for each risk is responsible for </w:t>
      </w:r>
      <w:r>
        <w:t>ensur</w:t>
      </w:r>
      <w:r w:rsidR="00517E82">
        <w:t>ing all risk mitigation actions associated with the risk/s they are managing have been completed to the satisfaction of the organisation and within required timeframes. Following the completion of risk mitigation action/s they are also responsible for ensuring the description of the risk and the controls that are in place to manage the risk are accurately reflected on the Risk Details Form. While this is also a part of their responsibilities when reviewing the risk,</w:t>
      </w:r>
      <w:r w:rsidR="00225A64">
        <w:t xml:space="preserve"> </w:t>
      </w:r>
      <w:r w:rsidR="00517E82">
        <w:t xml:space="preserve">the Risk Details Form, can be updated by the respective risk manager at any time. </w:t>
      </w:r>
    </w:p>
    <w:p w:rsidR="00225A64" w:rsidRDefault="00225A64">
      <w:pPr>
        <w:spacing w:after="200"/>
        <w:rPr>
          <w:rFonts w:asciiTheme="minorHAnsi" w:eastAsiaTheme="majorEastAsia" w:hAnsiTheme="minorHAnsi" w:cstheme="majorBidi"/>
          <w:b/>
          <w:bCs/>
          <w:sz w:val="22"/>
          <w:szCs w:val="26"/>
        </w:rPr>
      </w:pPr>
      <w:r>
        <w:br w:type="page"/>
      </w:r>
    </w:p>
    <w:p w:rsidR="0030345E" w:rsidRDefault="007D70E0" w:rsidP="00964B3B">
      <w:pPr>
        <w:pStyle w:val="Heading2"/>
        <w:numPr>
          <w:ilvl w:val="0"/>
          <w:numId w:val="2"/>
        </w:numPr>
      </w:pPr>
      <w:bookmarkStart w:id="14" w:name="_Toc504736063"/>
      <w:r>
        <w:lastRenderedPageBreak/>
        <w:t>Risk management plan</w:t>
      </w:r>
      <w:bookmarkEnd w:id="14"/>
    </w:p>
    <w:p w:rsidR="00225A64" w:rsidRDefault="00D17207" w:rsidP="00D17207">
      <w:r>
        <w:t xml:space="preserve">The risk management plan tab will provide an interactive </w:t>
      </w:r>
      <w:r w:rsidR="00225A64">
        <w:t>“Risk management report” for each</w:t>
      </w:r>
      <w:r w:rsidR="000C4F62">
        <w:t xml:space="preserve"> risk</w:t>
      </w:r>
      <w:r w:rsidR="00225A64">
        <w:t xml:space="preserve">, which commences with a </w:t>
      </w:r>
      <w:r w:rsidR="00117323">
        <w:t xml:space="preserve">description of the </w:t>
      </w:r>
      <w:r w:rsidR="00225A64">
        <w:t>controls that are in place to manage the risk.</w:t>
      </w:r>
    </w:p>
    <w:p w:rsidR="00D17207" w:rsidRDefault="00225A64" w:rsidP="00D17207">
      <w:pPr>
        <w:rPr>
          <w:lang w:eastAsia="en-AU"/>
        </w:rPr>
      </w:pPr>
      <w:r>
        <w:t xml:space="preserve"> </w:t>
      </w:r>
      <w:r>
        <w:rPr>
          <w:noProof/>
        </w:rPr>
        <w:drawing>
          <wp:inline distT="0" distB="0" distL="0" distR="0" wp14:anchorId="39CCB6F4" wp14:editId="518A66BD">
            <wp:extent cx="6645910" cy="206248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2062480"/>
                    </a:xfrm>
                    <a:prstGeom prst="rect">
                      <a:avLst/>
                    </a:prstGeom>
                  </pic:spPr>
                </pic:pic>
              </a:graphicData>
            </a:graphic>
          </wp:inline>
        </w:drawing>
      </w:r>
    </w:p>
    <w:p w:rsidR="00117323" w:rsidRDefault="00117323" w:rsidP="00117323">
      <w:pPr>
        <w:pStyle w:val="ListParagraph"/>
        <w:numPr>
          <w:ilvl w:val="1"/>
          <w:numId w:val="2"/>
        </w:numPr>
        <w:rPr>
          <w:b/>
        </w:rPr>
      </w:pPr>
      <w:r w:rsidRPr="007D70E0">
        <w:rPr>
          <w:b/>
        </w:rPr>
        <w:t xml:space="preserve">How to view </w:t>
      </w:r>
      <w:r>
        <w:rPr>
          <w:b/>
        </w:rPr>
        <w:t>the risk management plan</w:t>
      </w:r>
      <w:r w:rsidRPr="007D70E0">
        <w:rPr>
          <w:b/>
        </w:rPr>
        <w:t xml:space="preserve"> </w:t>
      </w:r>
    </w:p>
    <w:p w:rsidR="00225A64" w:rsidRDefault="00117323" w:rsidP="009D1DA8">
      <w:pPr>
        <w:ind w:left="360"/>
        <w:rPr>
          <w:lang w:eastAsia="en-AU"/>
        </w:rPr>
      </w:pPr>
      <w:r>
        <w:rPr>
          <w:lang w:eastAsia="en-AU"/>
        </w:rPr>
        <w:t>To support the review of a risk, t</w:t>
      </w:r>
      <w:r w:rsidR="00225A64">
        <w:rPr>
          <w:lang w:eastAsia="en-AU"/>
        </w:rPr>
        <w:t>he Risk management report details the status of the controls in place that are linked to the</w:t>
      </w:r>
      <w:r w:rsidR="00B90F59">
        <w:rPr>
          <w:lang w:eastAsia="en-AU"/>
        </w:rPr>
        <w:t xml:space="preserve"> respective</w:t>
      </w:r>
      <w:r w:rsidR="00225A64">
        <w:rPr>
          <w:lang w:eastAsia="en-AU"/>
        </w:rPr>
        <w:t xml:space="preserve"> risk. In the following example, the “Client Medications Dispensing Audit Template” is currently overdue for review</w:t>
      </w:r>
      <w:r w:rsidR="00B90F59">
        <w:rPr>
          <w:lang w:eastAsia="en-AU"/>
        </w:rPr>
        <w:t xml:space="preserve">. This may indicate that the audit, which is using this tool, may not be </w:t>
      </w:r>
      <w:r>
        <w:rPr>
          <w:lang w:eastAsia="en-AU"/>
        </w:rPr>
        <w:t xml:space="preserve">as </w:t>
      </w:r>
      <w:r w:rsidR="00B90F59">
        <w:rPr>
          <w:lang w:eastAsia="en-AU"/>
        </w:rPr>
        <w:t xml:space="preserve">effective as a control in managing the risks associated with “medication mismanagement”, </w:t>
      </w:r>
      <w:r w:rsidR="00225A64">
        <w:rPr>
          <w:lang w:eastAsia="en-AU"/>
        </w:rPr>
        <w:t xml:space="preserve">as </w:t>
      </w:r>
      <w:r w:rsidR="00B90F59">
        <w:rPr>
          <w:lang w:eastAsia="en-AU"/>
        </w:rPr>
        <w:t xml:space="preserve">the audit tool may </w:t>
      </w:r>
      <w:r>
        <w:rPr>
          <w:lang w:eastAsia="en-AU"/>
        </w:rPr>
        <w:t xml:space="preserve">not be in line with the </w:t>
      </w:r>
      <w:r w:rsidR="00225A64">
        <w:rPr>
          <w:lang w:eastAsia="en-AU"/>
        </w:rPr>
        <w:t>organisation’s procedures</w:t>
      </w:r>
      <w:r>
        <w:rPr>
          <w:lang w:eastAsia="en-AU"/>
        </w:rPr>
        <w:t>, which would be the case if the procedures had been updated and the audit tool had not</w:t>
      </w:r>
      <w:r w:rsidR="00225A64">
        <w:rPr>
          <w:lang w:eastAsia="en-AU"/>
        </w:rPr>
        <w:t xml:space="preserve">. </w:t>
      </w:r>
    </w:p>
    <w:p w:rsidR="00225A64" w:rsidRDefault="00225A64" w:rsidP="009D1DA8">
      <w:pPr>
        <w:ind w:left="360"/>
      </w:pPr>
      <w:r>
        <w:rPr>
          <w:lang w:eastAsia="en-AU"/>
        </w:rPr>
        <w:t xml:space="preserve"> </w:t>
      </w:r>
      <w:r>
        <w:rPr>
          <w:noProof/>
        </w:rPr>
        <w:drawing>
          <wp:inline distT="0" distB="0" distL="0" distR="0" wp14:anchorId="6521BDB9" wp14:editId="3E9118F1">
            <wp:extent cx="6390096" cy="3500327"/>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392144" cy="3501449"/>
                    </a:xfrm>
                    <a:prstGeom prst="rect">
                      <a:avLst/>
                    </a:prstGeom>
                  </pic:spPr>
                </pic:pic>
              </a:graphicData>
            </a:graphic>
          </wp:inline>
        </w:drawing>
      </w:r>
    </w:p>
    <w:p w:rsidR="00B90F59" w:rsidRDefault="00B90F59">
      <w:pPr>
        <w:spacing w:after="200"/>
        <w:rPr>
          <w:lang w:eastAsia="en-AU"/>
        </w:rPr>
      </w:pPr>
      <w:r>
        <w:rPr>
          <w:lang w:eastAsia="en-AU"/>
        </w:rPr>
        <w:br w:type="page"/>
      </w:r>
    </w:p>
    <w:p w:rsidR="000F3D53" w:rsidRDefault="000F3D53" w:rsidP="009D1DA8">
      <w:pPr>
        <w:pStyle w:val="ListParagraph"/>
        <w:ind w:left="360"/>
        <w:rPr>
          <w:lang w:eastAsia="en-AU"/>
        </w:rPr>
      </w:pPr>
      <w:r>
        <w:rPr>
          <w:lang w:eastAsia="en-AU"/>
        </w:rPr>
        <w:lastRenderedPageBreak/>
        <w:t xml:space="preserve">This </w:t>
      </w:r>
      <w:r>
        <w:t>risk management plan</w:t>
      </w:r>
      <w:r>
        <w:rPr>
          <w:lang w:eastAsia="en-AU"/>
        </w:rPr>
        <w:t xml:space="preserve"> provides details of the status of all items in the QMS that have been linked on the details form. In the following example, information is provided on a task relating to calibrating the equipment and indicates that the latest task was completed, while 3 times the task was missed, and it also scheduled to occur again in the following </w:t>
      </w:r>
      <w:proofErr w:type="gramStart"/>
      <w:r>
        <w:rPr>
          <w:lang w:eastAsia="en-AU"/>
        </w:rPr>
        <w:t>365 day</w:t>
      </w:r>
      <w:proofErr w:type="gramEnd"/>
      <w:r>
        <w:rPr>
          <w:lang w:eastAsia="en-AU"/>
        </w:rPr>
        <w:t xml:space="preserve"> period. </w:t>
      </w:r>
    </w:p>
    <w:p w:rsidR="000F3D53" w:rsidRDefault="000F3D53" w:rsidP="000F3D53">
      <w:pPr>
        <w:pStyle w:val="ListParagraph"/>
        <w:ind w:left="360"/>
        <w:rPr>
          <w:lang w:eastAsia="en-AU"/>
        </w:rPr>
      </w:pPr>
    </w:p>
    <w:p w:rsidR="000F3D53" w:rsidRDefault="000F3D53" w:rsidP="009D1DA8">
      <w:pPr>
        <w:pStyle w:val="ListParagraph"/>
        <w:ind w:left="360"/>
        <w:rPr>
          <w:lang w:eastAsia="en-AU"/>
        </w:rPr>
      </w:pPr>
      <w:r>
        <w:rPr>
          <w:noProof/>
        </w:rPr>
        <w:drawing>
          <wp:inline distT="0" distB="0" distL="0" distR="0" wp14:anchorId="05BE146C" wp14:editId="6822201D">
            <wp:extent cx="6275614" cy="121962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332703" cy="1230721"/>
                    </a:xfrm>
                    <a:prstGeom prst="rect">
                      <a:avLst/>
                    </a:prstGeom>
                  </pic:spPr>
                </pic:pic>
              </a:graphicData>
            </a:graphic>
          </wp:inline>
        </w:drawing>
      </w:r>
    </w:p>
    <w:p w:rsidR="000F3D53" w:rsidRPr="00117323" w:rsidRDefault="000F3D53" w:rsidP="000F3D53">
      <w:pPr>
        <w:pStyle w:val="ListParagraph"/>
        <w:ind w:left="360"/>
        <w:rPr>
          <w:b/>
        </w:rPr>
      </w:pPr>
    </w:p>
    <w:p w:rsidR="00D17207" w:rsidRDefault="00D17207" w:rsidP="003D108C">
      <w:pPr>
        <w:ind w:left="360"/>
        <w:rPr>
          <w:lang w:eastAsia="en-AU"/>
        </w:rPr>
      </w:pPr>
      <w:r>
        <w:rPr>
          <w:b/>
          <w:lang w:eastAsia="en-AU"/>
        </w:rPr>
        <w:t>Note:</w:t>
      </w:r>
      <w:r>
        <w:rPr>
          <w:lang w:eastAsia="en-AU"/>
        </w:rPr>
        <w:t xml:space="preserve"> </w:t>
      </w:r>
      <w:r w:rsidR="00C06A82">
        <w:rPr>
          <w:lang w:eastAsia="en-AU"/>
        </w:rPr>
        <w:t>In reviewing the Risk management plan, you have the option to modify t</w:t>
      </w:r>
      <w:r>
        <w:rPr>
          <w:lang w:eastAsia="en-AU"/>
        </w:rPr>
        <w:t>he number of days</w:t>
      </w:r>
      <w:r w:rsidR="00117323">
        <w:rPr>
          <w:lang w:eastAsia="en-AU"/>
        </w:rPr>
        <w:t xml:space="preserve"> the review relates to, </w:t>
      </w:r>
      <w:r>
        <w:rPr>
          <w:lang w:eastAsia="en-AU"/>
        </w:rPr>
        <w:t xml:space="preserve">from 30 days to </w:t>
      </w:r>
      <w:r w:rsidR="000C4F62">
        <w:rPr>
          <w:lang w:eastAsia="en-AU"/>
        </w:rPr>
        <w:t>1 year</w:t>
      </w:r>
      <w:r>
        <w:rPr>
          <w:lang w:eastAsia="en-AU"/>
        </w:rPr>
        <w:t xml:space="preserve"> by adjusting the “</w:t>
      </w:r>
      <w:r>
        <w:rPr>
          <w:b/>
          <w:lang w:eastAsia="en-AU"/>
        </w:rPr>
        <w:t>See last &amp; next</w:t>
      </w:r>
      <w:r>
        <w:rPr>
          <w:lang w:eastAsia="en-AU"/>
        </w:rPr>
        <w:t>” drop down field.</w:t>
      </w:r>
    </w:p>
    <w:p w:rsidR="00D17207" w:rsidRPr="00D17207" w:rsidRDefault="00C06A82" w:rsidP="003D108C">
      <w:pPr>
        <w:ind w:left="360"/>
        <w:rPr>
          <w:lang w:eastAsia="en-AU"/>
        </w:rPr>
      </w:pPr>
      <w:r>
        <w:rPr>
          <w:noProof/>
        </w:rPr>
        <w:drawing>
          <wp:inline distT="0" distB="0" distL="0" distR="0" wp14:anchorId="476A5E81" wp14:editId="3F37BB80">
            <wp:extent cx="1604645" cy="1024650"/>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8388" t="5992"/>
                    <a:stretch/>
                  </pic:blipFill>
                  <pic:spPr bwMode="auto">
                    <a:xfrm>
                      <a:off x="0" y="0"/>
                      <a:ext cx="1609949" cy="1028037"/>
                    </a:xfrm>
                    <a:prstGeom prst="rect">
                      <a:avLst/>
                    </a:prstGeom>
                    <a:ln>
                      <a:noFill/>
                    </a:ln>
                    <a:extLst>
                      <a:ext uri="{53640926-AAD7-44D8-BBD7-CCE9431645EC}">
                        <a14:shadowObscured xmlns:a14="http://schemas.microsoft.com/office/drawing/2010/main"/>
                      </a:ext>
                    </a:extLst>
                  </pic:spPr>
                </pic:pic>
              </a:graphicData>
            </a:graphic>
          </wp:inline>
        </w:drawing>
      </w:r>
    </w:p>
    <w:p w:rsidR="007D70E0" w:rsidRPr="007D70E0" w:rsidRDefault="007D70E0" w:rsidP="007D70E0">
      <w:pPr>
        <w:pStyle w:val="ListParagraph"/>
        <w:ind w:left="792"/>
        <w:rPr>
          <w:b/>
        </w:rPr>
      </w:pPr>
    </w:p>
    <w:p w:rsidR="007D70E0" w:rsidRDefault="007D70E0" w:rsidP="00964B3B">
      <w:pPr>
        <w:pStyle w:val="ListParagraph"/>
        <w:numPr>
          <w:ilvl w:val="1"/>
          <w:numId w:val="2"/>
        </w:numPr>
        <w:rPr>
          <w:b/>
        </w:rPr>
      </w:pPr>
      <w:r>
        <w:rPr>
          <w:b/>
        </w:rPr>
        <w:t>How to drill through the risk management plan</w:t>
      </w:r>
    </w:p>
    <w:p w:rsidR="0030345E" w:rsidRDefault="00117323" w:rsidP="00117323">
      <w:pPr>
        <w:pStyle w:val="ListParagraph"/>
        <w:ind w:left="360"/>
        <w:rPr>
          <w:lang w:eastAsia="en-AU"/>
        </w:rPr>
      </w:pPr>
      <w:r>
        <w:rPr>
          <w:lang w:eastAsia="en-AU"/>
        </w:rPr>
        <w:t xml:space="preserve">To view a </w:t>
      </w:r>
      <w:proofErr w:type="gramStart"/>
      <w:r>
        <w:rPr>
          <w:lang w:eastAsia="en-AU"/>
        </w:rPr>
        <w:t>particular item</w:t>
      </w:r>
      <w:proofErr w:type="gramEnd"/>
      <w:r>
        <w:rPr>
          <w:lang w:eastAsia="en-AU"/>
        </w:rPr>
        <w:t xml:space="preserve"> on the Risk management plan, click on the ID# hyperlink to go directly to the task. You can then use the “back” button to return to the Risk Mitigation Plan. </w:t>
      </w:r>
    </w:p>
    <w:p w:rsidR="00CF39C6" w:rsidRDefault="00FD3628" w:rsidP="00964B3B">
      <w:pPr>
        <w:pStyle w:val="Heading2"/>
        <w:numPr>
          <w:ilvl w:val="0"/>
          <w:numId w:val="2"/>
        </w:numPr>
      </w:pPr>
      <w:bookmarkStart w:id="15" w:name="_Toc504736064"/>
      <w:r w:rsidRPr="002D4B63">
        <w:t xml:space="preserve">How to </w:t>
      </w:r>
      <w:r>
        <w:t>review an identified risk</w:t>
      </w:r>
      <w:bookmarkEnd w:id="15"/>
    </w:p>
    <w:p w:rsidR="00117323" w:rsidRDefault="00117323" w:rsidP="00117323">
      <w:pPr>
        <w:ind w:left="360"/>
      </w:pPr>
      <w:r>
        <w:t>In reviewing a risk, the following steps are recommended:</w:t>
      </w:r>
    </w:p>
    <w:p w:rsidR="000F3D53" w:rsidRDefault="000F3D53" w:rsidP="000F3D53">
      <w:pPr>
        <w:ind w:left="720"/>
      </w:pPr>
      <w:r>
        <w:t xml:space="preserve">Refer to the Risk management plan </w:t>
      </w:r>
    </w:p>
    <w:p w:rsidR="00117323" w:rsidRDefault="000F3D53" w:rsidP="000F3D53">
      <w:pPr>
        <w:pStyle w:val="ListParagraph"/>
        <w:numPr>
          <w:ilvl w:val="0"/>
          <w:numId w:val="8"/>
        </w:numPr>
      </w:pPr>
      <w:r>
        <w:t>Assess to what extent the controls in place are effective based on their status</w:t>
      </w:r>
    </w:p>
    <w:p w:rsidR="000F3D53" w:rsidRDefault="000F3D53" w:rsidP="000F3D53">
      <w:pPr>
        <w:pStyle w:val="ListParagraph"/>
        <w:numPr>
          <w:ilvl w:val="0"/>
          <w:numId w:val="8"/>
        </w:numPr>
      </w:pPr>
      <w:r>
        <w:t>Where adverse events are listed (incidents, feedback, non-conformances, repairs), open each event to gain an understanding of the organisation’s exposure to the risk</w:t>
      </w:r>
    </w:p>
    <w:p w:rsidR="000F3D53" w:rsidRDefault="000F3D53" w:rsidP="000F3D53">
      <w:pPr>
        <w:pStyle w:val="ListParagraph"/>
        <w:numPr>
          <w:ilvl w:val="0"/>
          <w:numId w:val="8"/>
        </w:numPr>
      </w:pPr>
      <w:r>
        <w:t xml:space="preserve">Review the status of the risk mitigation actions </w:t>
      </w:r>
    </w:p>
    <w:p w:rsidR="000F3D53" w:rsidRDefault="000F3D53" w:rsidP="000F3D53">
      <w:pPr>
        <w:ind w:left="720"/>
      </w:pPr>
      <w:r>
        <w:t>Based on the information gained through the review of the Risk management plan</w:t>
      </w:r>
    </w:p>
    <w:p w:rsidR="000F3D53" w:rsidRDefault="000F3D53" w:rsidP="000F3D53">
      <w:pPr>
        <w:pStyle w:val="ListParagraph"/>
        <w:numPr>
          <w:ilvl w:val="0"/>
          <w:numId w:val="8"/>
        </w:numPr>
      </w:pPr>
      <w:r>
        <w:t>Review the Risk Details Form to ensure the description of the risk is accurate and revise, if required</w:t>
      </w:r>
    </w:p>
    <w:p w:rsidR="000F3D53" w:rsidRDefault="00B34851" w:rsidP="000F3D53">
      <w:pPr>
        <w:pStyle w:val="ListParagraph"/>
        <w:numPr>
          <w:ilvl w:val="0"/>
          <w:numId w:val="8"/>
        </w:numPr>
      </w:pPr>
      <w:r>
        <w:t>Review the controls and l</w:t>
      </w:r>
      <w:r w:rsidR="000F3D53">
        <w:t>ink additional controls</w:t>
      </w:r>
      <w:r>
        <w:t>, if applicable</w:t>
      </w:r>
      <w:r w:rsidR="000F3D53">
        <w:t xml:space="preserve"> </w:t>
      </w:r>
    </w:p>
    <w:p w:rsidR="00B34851" w:rsidRDefault="00B34851" w:rsidP="00B34851">
      <w:pPr>
        <w:pStyle w:val="ListParagraph"/>
        <w:numPr>
          <w:ilvl w:val="0"/>
          <w:numId w:val="8"/>
        </w:numPr>
      </w:pPr>
      <w:r>
        <w:t>Review the linkages with incident types and feedback categories and revise, if required</w:t>
      </w:r>
    </w:p>
    <w:p w:rsidR="000F3D53" w:rsidRDefault="000F3D53" w:rsidP="000F3D53">
      <w:pPr>
        <w:pStyle w:val="ListParagraph"/>
        <w:numPr>
          <w:ilvl w:val="0"/>
          <w:numId w:val="8"/>
        </w:numPr>
      </w:pPr>
      <w:r>
        <w:t xml:space="preserve">Review the </w:t>
      </w:r>
      <w:r w:rsidR="00B34851">
        <w:t xml:space="preserve">controlled </w:t>
      </w:r>
      <w:r>
        <w:t>risk rating and revise, if required</w:t>
      </w:r>
    </w:p>
    <w:p w:rsidR="000F3D53" w:rsidRDefault="000F3D53" w:rsidP="000F3D53">
      <w:pPr>
        <w:pStyle w:val="ListParagraph"/>
        <w:numPr>
          <w:ilvl w:val="0"/>
          <w:numId w:val="8"/>
        </w:numPr>
      </w:pPr>
      <w:r>
        <w:t>Add additional risk treatment actions to better manage or mitigate the risk</w:t>
      </w:r>
      <w:r w:rsidR="00B34851">
        <w:t>, if required</w:t>
      </w:r>
    </w:p>
    <w:p w:rsidR="000F3D53" w:rsidRDefault="00B34851" w:rsidP="000F3D53">
      <w:pPr>
        <w:pStyle w:val="ListParagraph"/>
        <w:numPr>
          <w:ilvl w:val="0"/>
          <w:numId w:val="8"/>
        </w:numPr>
      </w:pPr>
      <w:r>
        <w:t xml:space="preserve">Increase or decrease the </w:t>
      </w:r>
      <w:r w:rsidR="000F3D53">
        <w:t>Risk Occurrence threshold</w:t>
      </w:r>
      <w:r>
        <w:t>, as required</w:t>
      </w:r>
    </w:p>
    <w:p w:rsidR="000F3D53" w:rsidRPr="00117323" w:rsidRDefault="000F3D53" w:rsidP="000F3D53">
      <w:pPr>
        <w:ind w:left="720"/>
      </w:pPr>
    </w:p>
    <w:p w:rsidR="00117323" w:rsidRPr="00117323" w:rsidRDefault="00117323" w:rsidP="00117323"/>
    <w:p w:rsidR="00CF39C6" w:rsidRDefault="00CF39C6" w:rsidP="00CF39C6"/>
    <w:p w:rsidR="0030345E" w:rsidRPr="00FD3628" w:rsidRDefault="0030345E" w:rsidP="00964B3B">
      <w:pPr>
        <w:pStyle w:val="Heading2"/>
        <w:numPr>
          <w:ilvl w:val="0"/>
          <w:numId w:val="2"/>
        </w:numPr>
      </w:pPr>
      <w:bookmarkStart w:id="16" w:name="_Toc504736065"/>
      <w:r w:rsidRPr="002D4B63">
        <w:lastRenderedPageBreak/>
        <w:t xml:space="preserve">How </w:t>
      </w:r>
      <w:r>
        <w:t>to manage the review of an identified risk</w:t>
      </w:r>
      <w:bookmarkEnd w:id="16"/>
    </w:p>
    <w:p w:rsidR="00B34851" w:rsidRDefault="00B34851" w:rsidP="00CF39C6">
      <w:r>
        <w:t>The Risk Manager has responsibility for the overall management of the risk that has been assigned to them. As part of this role the</w:t>
      </w:r>
      <w:r w:rsidR="003E02D9">
        <w:t xml:space="preserve"> risk manager has the </w:t>
      </w:r>
      <w:r>
        <w:t>responsibility to ensure:</w:t>
      </w:r>
    </w:p>
    <w:p w:rsidR="00B34851" w:rsidRDefault="00B34851" w:rsidP="00B34851">
      <w:pPr>
        <w:pStyle w:val="ListParagraph"/>
        <w:numPr>
          <w:ilvl w:val="0"/>
          <w:numId w:val="9"/>
        </w:numPr>
      </w:pPr>
      <w:r>
        <w:t>the organisation has an accurate understanding of the real and potential exposure to the identified risk</w:t>
      </w:r>
    </w:p>
    <w:p w:rsidR="00B34851" w:rsidRDefault="00B34851" w:rsidP="00B34851">
      <w:pPr>
        <w:pStyle w:val="ListParagraph"/>
        <w:numPr>
          <w:ilvl w:val="0"/>
          <w:numId w:val="9"/>
        </w:numPr>
      </w:pPr>
      <w:r>
        <w:t>the risk has been fully described in terms of potential consequences and contributing factors</w:t>
      </w:r>
    </w:p>
    <w:p w:rsidR="00B34851" w:rsidRDefault="00B34851" w:rsidP="00B34851">
      <w:pPr>
        <w:pStyle w:val="ListParagraph"/>
        <w:numPr>
          <w:ilvl w:val="0"/>
          <w:numId w:val="9"/>
        </w:numPr>
      </w:pPr>
      <w:r>
        <w:t>appropriate controls are in place to manage or mitigate the risk</w:t>
      </w:r>
    </w:p>
    <w:p w:rsidR="001D08CB" w:rsidRDefault="001D08CB" w:rsidP="001D08CB">
      <w:pPr>
        <w:pStyle w:val="ListParagraph"/>
        <w:numPr>
          <w:ilvl w:val="0"/>
          <w:numId w:val="9"/>
        </w:numPr>
      </w:pPr>
      <w:r>
        <w:t>where the “controlled risk” assessment is rated “high” or “extreme” further risk mitigation action will be taken to mitigate the organisation’s exposure to the risk and that risk treatment actions will be treated as a priority</w:t>
      </w:r>
    </w:p>
    <w:p w:rsidR="00B34851" w:rsidRDefault="00B34851" w:rsidP="003E02D9">
      <w:pPr>
        <w:pStyle w:val="ListParagraph"/>
        <w:numPr>
          <w:ilvl w:val="0"/>
          <w:numId w:val="9"/>
        </w:numPr>
      </w:pPr>
      <w:r>
        <w:t>where further treatment action is required, action has been delegated with clear timeframes for completion</w:t>
      </w:r>
    </w:p>
    <w:p w:rsidR="00B34851" w:rsidRDefault="00B34851" w:rsidP="003E02D9">
      <w:pPr>
        <w:pStyle w:val="ListParagraph"/>
        <w:numPr>
          <w:ilvl w:val="0"/>
          <w:numId w:val="9"/>
        </w:numPr>
      </w:pPr>
      <w:r>
        <w:t>the organisation’s exposure to the risk is being monitored</w:t>
      </w:r>
    </w:p>
    <w:p w:rsidR="00B34851" w:rsidRDefault="001D08CB" w:rsidP="00B34851">
      <w:pPr>
        <w:pStyle w:val="ListParagraph"/>
        <w:numPr>
          <w:ilvl w:val="0"/>
          <w:numId w:val="9"/>
        </w:numPr>
      </w:pPr>
      <w:r>
        <w:t xml:space="preserve">the risk is reviewed at required intervals or </w:t>
      </w:r>
      <w:r w:rsidR="003E02D9">
        <w:t>upon the</w:t>
      </w:r>
      <w:r>
        <w:t xml:space="preserve"> Risk Occurrence Threshold </w:t>
      </w:r>
      <w:r w:rsidR="003E02D9">
        <w:t>being</w:t>
      </w:r>
      <w:r>
        <w:t xml:space="preserve"> reached</w:t>
      </w:r>
    </w:p>
    <w:p w:rsidR="001D08CB" w:rsidRPr="00CF39C6" w:rsidRDefault="003E02D9" w:rsidP="00B34851">
      <w:pPr>
        <w:pStyle w:val="ListParagraph"/>
        <w:numPr>
          <w:ilvl w:val="0"/>
          <w:numId w:val="9"/>
        </w:numPr>
      </w:pPr>
      <w:r>
        <w:t>where the</w:t>
      </w:r>
      <w:r w:rsidR="001D08CB">
        <w:t xml:space="preserve"> organisation’s exposure to the risk increases, the issue will be escalated to higher management </w:t>
      </w:r>
    </w:p>
    <w:p w:rsidR="00BA62FE" w:rsidRDefault="00BA62FE" w:rsidP="00BF4188">
      <w:pPr>
        <w:pStyle w:val="Heading1"/>
        <w:rPr>
          <w:bCs/>
        </w:rPr>
      </w:pPr>
    </w:p>
    <w:bookmarkEnd w:id="3"/>
    <w:bookmarkEnd w:id="4"/>
    <w:bookmarkEnd w:id="5"/>
    <w:bookmarkEnd w:id="6"/>
    <w:p w:rsidR="008C3F34" w:rsidRDefault="008C3F34" w:rsidP="006C6CBD">
      <w:pPr>
        <w:pStyle w:val="Heading2"/>
      </w:pPr>
    </w:p>
    <w:p w:rsidR="008C3F34" w:rsidRPr="004D2527" w:rsidRDefault="008C3F34" w:rsidP="008C3F34"/>
    <w:p w:rsidR="004B2198" w:rsidRDefault="004B2198" w:rsidP="004B2198">
      <w:pPr>
        <w:spacing w:before="40" w:after="40" w:line="240" w:lineRule="auto"/>
        <w:contextualSpacing/>
      </w:pPr>
    </w:p>
    <w:p w:rsidR="004B2198" w:rsidRPr="000F2606" w:rsidRDefault="004B2198" w:rsidP="004B2198">
      <w:pPr>
        <w:spacing w:before="40" w:after="40" w:line="240" w:lineRule="auto"/>
        <w:contextualSpacing/>
      </w:pPr>
    </w:p>
    <w:p w:rsidR="00330A9B" w:rsidRPr="001D0D34" w:rsidRDefault="00330A9B" w:rsidP="000B7957">
      <w:pPr>
        <w:tabs>
          <w:tab w:val="left" w:pos="2715"/>
        </w:tabs>
        <w:spacing w:after="200"/>
        <w:rPr>
          <w:rFonts w:asciiTheme="minorHAnsi" w:eastAsiaTheme="majorEastAsia" w:hAnsiTheme="minorHAnsi" w:cstheme="minorHAnsi"/>
          <w:bCs/>
          <w:szCs w:val="20"/>
        </w:rPr>
      </w:pPr>
    </w:p>
    <w:sectPr w:rsidR="00330A9B" w:rsidRPr="001D0D34" w:rsidSect="00D31EE1">
      <w:headerReference w:type="default" r:id="rId44"/>
      <w:footerReference w:type="default" r:id="rId45"/>
      <w:pgSz w:w="11906" w:h="16838" w:code="9"/>
      <w:pgMar w:top="198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C12" w:rsidRDefault="00E97C12" w:rsidP="00577A06">
      <w:pPr>
        <w:spacing w:after="0" w:line="240" w:lineRule="auto"/>
      </w:pPr>
      <w:r>
        <w:separator/>
      </w:r>
    </w:p>
  </w:endnote>
  <w:endnote w:type="continuationSeparator" w:id="0">
    <w:p w:rsidR="00E97C12" w:rsidRDefault="00E97C12"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ED2" w:rsidRDefault="00AA5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D9" w:rsidRPr="001007F0" w:rsidRDefault="003E02D9" w:rsidP="00A733AF">
    <w:pPr>
      <w:pStyle w:val="Footer"/>
    </w:pPr>
    <w:r w:rsidRPr="007C38E4">
      <w:rPr>
        <w:b/>
        <w:noProof/>
        <w:color w:val="FFFFFF" w:themeColor="background1"/>
        <w:sz w:val="36"/>
        <w:szCs w:val="36"/>
        <w:lang w:eastAsia="en-AU"/>
      </w:rPr>
      <mc:AlternateContent>
        <mc:Choice Requires="wps">
          <w:drawing>
            <wp:anchor distT="0" distB="0" distL="114300" distR="114300" simplePos="0" relativeHeight="251659264" behindDoc="1" locked="0" layoutInCell="1" allowOverlap="1" wp14:anchorId="1CA43BD9" wp14:editId="6398B29F">
              <wp:simplePos x="0" y="0"/>
              <wp:positionH relativeFrom="page">
                <wp:posOffset>0</wp:posOffset>
              </wp:positionH>
              <wp:positionV relativeFrom="paragraph">
                <wp:posOffset>-161989</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F3888" id="Rectangle 10" o:spid="_x0000_s1026" style="position:absolute;margin-left:0;margin-top:-12.75pt;width:595.15pt;height:4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" fillcolor="#a5a5a5 [2092]"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D9" w:rsidRPr="007D2194" w:rsidRDefault="003E02D9"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eastAsia="en-AU"/>
      </w:rPr>
      <mc:AlternateContent>
        <mc:Choice Requires="wps">
          <w:drawing>
            <wp:anchor distT="0" distB="0" distL="114300" distR="114300" simplePos="0" relativeHeight="251665408" behindDoc="1" locked="0" layoutInCell="1" allowOverlap="1" wp14:anchorId="16FE86C3" wp14:editId="3D84B7EA">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E7C1A"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sidR="00B957D0">
      <w:rPr>
        <w:noProof/>
        <w:color w:val="FFFFFF" w:themeColor="background1"/>
        <w:sz w:val="16"/>
      </w:rPr>
      <w:t>LOGIQC Risk Module Training Workbook_v1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sidR="004620B7">
      <w:rPr>
        <w:noProof/>
        <w:color w:val="FFFFFF" w:themeColor="background1"/>
        <w:sz w:val="16"/>
      </w:rPr>
      <w:t>1</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sidR="004620B7">
      <w:rPr>
        <w:noProof/>
        <w:color w:val="FFFFFF" w:themeColor="background1"/>
        <w:sz w:val="16"/>
      </w:rPr>
      <w:t>14</w:t>
    </w:r>
    <w:r w:rsidRPr="007D2194">
      <w:rPr>
        <w:color w:val="FFFFFF" w:themeColor="background1"/>
        <w:sz w:val="16"/>
      </w:rPr>
      <w:fldChar w:fldCharType="end"/>
    </w:r>
  </w:p>
  <w:p w:rsidR="003E02D9" w:rsidRDefault="003E0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D9" w:rsidRDefault="00982E27" w:rsidP="00CB68EF">
    <w:pPr>
      <w:pStyle w:val="Footer"/>
      <w:pBdr>
        <w:top w:val="single" w:sz="4" w:space="1" w:color="auto"/>
      </w:pBdr>
      <w:tabs>
        <w:tab w:val="clear" w:pos="4513"/>
        <w:tab w:val="clear" w:pos="9026"/>
        <w:tab w:val="center" w:pos="4820"/>
        <w:tab w:val="right" w:pos="10348"/>
      </w:tabs>
      <w:spacing w:after="120"/>
      <w:rPr>
        <w:sz w:val="16"/>
      </w:rPr>
    </w:pPr>
    <w:sdt>
      <w:sdtPr>
        <w:id w:val="-1794890098"/>
        <w:docPartObj>
          <w:docPartGallery w:val="Page Numbers (Bottom of Page)"/>
          <w:docPartUnique/>
        </w:docPartObj>
      </w:sdtPr>
      <w:sdtEndPr>
        <w:rPr>
          <w:sz w:val="16"/>
        </w:rPr>
      </w:sdtEndPr>
      <w:sdtContent>
        <w:sdt>
          <w:sdtPr>
            <w:rPr>
              <w:sz w:val="16"/>
            </w:rPr>
            <w:id w:val="1760719351"/>
            <w:docPartObj>
              <w:docPartGallery w:val="Page Numbers (Top of Page)"/>
              <w:docPartUnique/>
            </w:docPartObj>
          </w:sdtPr>
          <w:sdtEndPr/>
          <w:sdtContent>
            <w:r w:rsidR="003E02D9">
              <w:rPr>
                <w:noProof/>
                <w:sz w:val="16"/>
              </w:rPr>
              <w:fldChar w:fldCharType="begin"/>
            </w:r>
            <w:r w:rsidR="003E02D9" w:rsidRPr="00925C6E">
              <w:rPr>
                <w:noProof/>
                <w:sz w:val="16"/>
              </w:rPr>
              <w:instrText xml:space="preserve"> FILENAME   \* MERGEFORMAT </w:instrText>
            </w:r>
            <w:r w:rsidR="003E02D9">
              <w:rPr>
                <w:noProof/>
                <w:sz w:val="16"/>
              </w:rPr>
              <w:fldChar w:fldCharType="separate"/>
            </w:r>
            <w:r>
              <w:rPr>
                <w:noProof/>
                <w:sz w:val="16"/>
              </w:rPr>
              <w:t>LOGIQC Risk Module Training Workbook_v1</w:t>
            </w:r>
            <w:r w:rsidR="003E02D9">
              <w:rPr>
                <w:noProof/>
                <w:sz w:val="16"/>
              </w:rPr>
              <w:fldChar w:fldCharType="end"/>
            </w:r>
            <w:bookmarkStart w:id="17" w:name="_GoBack"/>
            <w:bookmarkEnd w:id="17"/>
            <w:r w:rsidR="003E02D9" w:rsidRPr="00321B90">
              <w:rPr>
                <w:noProof/>
                <w:sz w:val="16"/>
              </w:rPr>
              <w:t xml:space="preserve"> </w:t>
            </w:r>
            <w:r w:rsidR="003E02D9">
              <w:rPr>
                <w:sz w:val="16"/>
              </w:rPr>
              <w:tab/>
            </w:r>
            <w:r w:rsidR="003E02D9" w:rsidRPr="00321B90">
              <w:rPr>
                <w:sz w:val="16"/>
              </w:rPr>
              <w:tab/>
              <w:t xml:space="preserve">Page </w:t>
            </w:r>
            <w:r w:rsidR="003E02D9" w:rsidRPr="00321B90">
              <w:rPr>
                <w:sz w:val="16"/>
              </w:rPr>
              <w:fldChar w:fldCharType="begin"/>
            </w:r>
            <w:r w:rsidR="003E02D9" w:rsidRPr="00321B90">
              <w:rPr>
                <w:sz w:val="16"/>
              </w:rPr>
              <w:instrText xml:space="preserve"> PAGE </w:instrText>
            </w:r>
            <w:r w:rsidR="003E02D9" w:rsidRPr="00321B90">
              <w:rPr>
                <w:sz w:val="16"/>
              </w:rPr>
              <w:fldChar w:fldCharType="separate"/>
            </w:r>
            <w:r w:rsidR="004620B7">
              <w:rPr>
                <w:noProof/>
                <w:sz w:val="16"/>
              </w:rPr>
              <w:t>8</w:t>
            </w:r>
            <w:r w:rsidR="003E02D9" w:rsidRPr="00321B90">
              <w:rPr>
                <w:sz w:val="16"/>
              </w:rPr>
              <w:fldChar w:fldCharType="end"/>
            </w:r>
            <w:r w:rsidR="003E02D9" w:rsidRPr="00321B90">
              <w:rPr>
                <w:sz w:val="16"/>
              </w:rPr>
              <w:t xml:space="preserve"> of </w:t>
            </w:r>
            <w:r w:rsidR="003E02D9" w:rsidRPr="00321B90">
              <w:rPr>
                <w:sz w:val="16"/>
              </w:rPr>
              <w:fldChar w:fldCharType="begin"/>
            </w:r>
            <w:r w:rsidR="003E02D9" w:rsidRPr="00321B90">
              <w:rPr>
                <w:sz w:val="16"/>
              </w:rPr>
              <w:instrText xml:space="preserve"> NUMPAGES  </w:instrText>
            </w:r>
            <w:r w:rsidR="003E02D9" w:rsidRPr="00321B90">
              <w:rPr>
                <w:sz w:val="16"/>
              </w:rPr>
              <w:fldChar w:fldCharType="separate"/>
            </w:r>
            <w:r w:rsidR="004620B7">
              <w:rPr>
                <w:noProof/>
                <w:sz w:val="16"/>
              </w:rPr>
              <w:t>14</w:t>
            </w:r>
            <w:r w:rsidR="003E02D9" w:rsidRPr="00321B90">
              <w:rPr>
                <w:sz w:val="16"/>
              </w:rPr>
              <w:fldChar w:fldCharType="end"/>
            </w:r>
          </w:sdtContent>
        </w:sdt>
      </w:sdtContent>
    </w:sdt>
  </w:p>
  <w:p w:rsidR="003E02D9" w:rsidRPr="00CB68EF" w:rsidRDefault="003E02D9" w:rsidP="00CB68EF">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C12" w:rsidRDefault="00E97C12" w:rsidP="00577A06">
      <w:pPr>
        <w:spacing w:after="0" w:line="240" w:lineRule="auto"/>
      </w:pPr>
      <w:r>
        <w:separator/>
      </w:r>
    </w:p>
  </w:footnote>
  <w:footnote w:type="continuationSeparator" w:id="0">
    <w:p w:rsidR="00E97C12" w:rsidRDefault="00E97C12" w:rsidP="00577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ED2" w:rsidRDefault="00AA5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D9" w:rsidRPr="00DC5631" w:rsidRDefault="00D31EE1" w:rsidP="00A733AF">
    <w:pPr>
      <w:pStyle w:val="Header"/>
      <w:ind w:left="-794"/>
    </w:pPr>
    <w:r w:rsidRPr="007C38E4">
      <w:rPr>
        <w:b/>
        <w:noProof/>
        <w:color w:val="FFFFFF" w:themeColor="background1"/>
        <w:sz w:val="36"/>
        <w:szCs w:val="36"/>
        <w:lang w:eastAsia="en-AU"/>
      </w:rPr>
      <mc:AlternateContent>
        <mc:Choice Requires="wps">
          <w:drawing>
            <wp:anchor distT="0" distB="0" distL="114300" distR="114300" simplePos="0" relativeHeight="251661312" behindDoc="1" locked="0" layoutInCell="1" allowOverlap="1" wp14:anchorId="74095FD7" wp14:editId="26AEB265">
              <wp:simplePos x="0" y="0"/>
              <wp:positionH relativeFrom="page">
                <wp:align>left</wp:align>
              </wp:positionH>
              <wp:positionV relativeFrom="paragraph">
                <wp:posOffset>816</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8D575" id="Rectangle 194" o:spid="_x0000_s1026" style="position:absolute;margin-left:0;margin-top:.05pt;width:595.15pt;height:42.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EE1" w:rsidRPr="00DC5631" w:rsidRDefault="00D31EE1" w:rsidP="00D31EE1">
    <w:pPr>
      <w:pStyle w:val="Header"/>
      <w:ind w:left="-794"/>
    </w:pPr>
    <w:r>
      <w:rPr>
        <w:noProof/>
        <w:lang w:eastAsia="en-AU"/>
      </w:rPr>
      <w:drawing>
        <wp:inline distT="0" distB="0" distL="0" distR="0" wp14:anchorId="6148EF11" wp14:editId="46083C50">
          <wp:extent cx="7558405" cy="1442064"/>
          <wp:effectExtent l="0" t="0" r="444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7605" cy="1453359"/>
                  </a:xfrm>
                  <a:prstGeom prst="rect">
                    <a:avLst/>
                  </a:prstGeom>
                  <a:ln>
                    <a:noFill/>
                  </a:ln>
                  <a:extLst>
                    <a:ext uri="{53640926-AAD7-44D8-BBD7-CCE9431645EC}">
                      <a14:shadowObscured xmlns:a14="http://schemas.microsoft.com/office/drawing/2010/main"/>
                    </a:ext>
                  </a:extLst>
                </pic:spPr>
              </pic:pic>
            </a:graphicData>
          </a:graphic>
        </wp:inline>
      </w:drawing>
    </w:r>
  </w:p>
  <w:p w:rsidR="003E02D9" w:rsidRDefault="003E02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EE1" w:rsidRPr="00DC5631" w:rsidRDefault="00D31EE1" w:rsidP="00A733AF">
    <w:pPr>
      <w:pStyle w:val="Header"/>
      <w:ind w:left="-794"/>
    </w:pPr>
    <w:r w:rsidRPr="007C38E4">
      <w:rPr>
        <w:b/>
        <w:noProof/>
        <w:color w:val="FFFFFF" w:themeColor="background1"/>
        <w:sz w:val="36"/>
        <w:szCs w:val="36"/>
        <w:lang w:eastAsia="en-AU"/>
      </w:rPr>
      <mc:AlternateContent>
        <mc:Choice Requires="wps">
          <w:drawing>
            <wp:anchor distT="0" distB="0" distL="114300" distR="114300" simplePos="0" relativeHeight="251667456" behindDoc="1" locked="0" layoutInCell="1" allowOverlap="1" wp14:anchorId="5AA115F3" wp14:editId="70D3EE68">
              <wp:simplePos x="0" y="0"/>
              <wp:positionH relativeFrom="page">
                <wp:align>left</wp:align>
              </wp:positionH>
              <wp:positionV relativeFrom="paragraph">
                <wp:posOffset>816</wp:posOffset>
              </wp:positionV>
              <wp:extent cx="7558715" cy="534390"/>
              <wp:effectExtent l="0" t="0" r="4445" b="0"/>
              <wp:wrapNone/>
              <wp:docPr id="12" name="Rectangle 12"/>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53D03" id="Rectangle 12" o:spid="_x0000_s1026" style="position:absolute;margin-left:0;margin-top:.05pt;width:595.15pt;height:42.1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Aa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95A"/>
    <w:multiLevelType w:val="hybridMultilevel"/>
    <w:tmpl w:val="AB22C77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417716C"/>
    <w:multiLevelType w:val="hybridMultilevel"/>
    <w:tmpl w:val="3D042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AA1F72"/>
    <w:multiLevelType w:val="hybridMultilevel"/>
    <w:tmpl w:val="1854A5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B86C81"/>
    <w:multiLevelType w:val="hybridMultilevel"/>
    <w:tmpl w:val="C3BE085E"/>
    <w:lvl w:ilvl="0" w:tplc="42A62AF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2E977C7"/>
    <w:multiLevelType w:val="hybridMultilevel"/>
    <w:tmpl w:val="A99EB5C4"/>
    <w:lvl w:ilvl="0" w:tplc="3E6E7A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5522D3"/>
    <w:multiLevelType w:val="multilevel"/>
    <w:tmpl w:val="ABB0FCBE"/>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316962"/>
    <w:multiLevelType w:val="hybridMultilevel"/>
    <w:tmpl w:val="9160968A"/>
    <w:lvl w:ilvl="0" w:tplc="C0E005AE">
      <w:start w:val="1"/>
      <w:numFmt w:val="bullet"/>
      <w:pStyle w:val="Lin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0EB29D9"/>
    <w:multiLevelType w:val="hybridMultilevel"/>
    <w:tmpl w:val="4DECE1EC"/>
    <w:lvl w:ilvl="0" w:tplc="0C090005">
      <w:start w:val="1"/>
      <w:numFmt w:val="bullet"/>
      <w:lvlText w:val=""/>
      <w:lvlJc w:val="left"/>
      <w:pPr>
        <w:ind w:left="1905" w:hanging="360"/>
      </w:pPr>
      <w:rPr>
        <w:rFonts w:ascii="Wingdings" w:hAnsi="Wingdings" w:hint="default"/>
      </w:rPr>
    </w:lvl>
    <w:lvl w:ilvl="1" w:tplc="0C090003" w:tentative="1">
      <w:start w:val="1"/>
      <w:numFmt w:val="bullet"/>
      <w:lvlText w:val="o"/>
      <w:lvlJc w:val="left"/>
      <w:pPr>
        <w:ind w:left="2625" w:hanging="360"/>
      </w:pPr>
      <w:rPr>
        <w:rFonts w:ascii="Courier New" w:hAnsi="Courier New" w:cs="Courier New" w:hint="default"/>
      </w:rPr>
    </w:lvl>
    <w:lvl w:ilvl="2" w:tplc="0C090005" w:tentative="1">
      <w:start w:val="1"/>
      <w:numFmt w:val="bullet"/>
      <w:lvlText w:val=""/>
      <w:lvlJc w:val="left"/>
      <w:pPr>
        <w:ind w:left="3345" w:hanging="360"/>
      </w:pPr>
      <w:rPr>
        <w:rFonts w:ascii="Wingdings" w:hAnsi="Wingdings" w:hint="default"/>
      </w:rPr>
    </w:lvl>
    <w:lvl w:ilvl="3" w:tplc="0C090001" w:tentative="1">
      <w:start w:val="1"/>
      <w:numFmt w:val="bullet"/>
      <w:lvlText w:val=""/>
      <w:lvlJc w:val="left"/>
      <w:pPr>
        <w:ind w:left="4065" w:hanging="360"/>
      </w:pPr>
      <w:rPr>
        <w:rFonts w:ascii="Symbol" w:hAnsi="Symbol" w:hint="default"/>
      </w:rPr>
    </w:lvl>
    <w:lvl w:ilvl="4" w:tplc="0C090003" w:tentative="1">
      <w:start w:val="1"/>
      <w:numFmt w:val="bullet"/>
      <w:lvlText w:val="o"/>
      <w:lvlJc w:val="left"/>
      <w:pPr>
        <w:ind w:left="4785" w:hanging="360"/>
      </w:pPr>
      <w:rPr>
        <w:rFonts w:ascii="Courier New" w:hAnsi="Courier New" w:cs="Courier New" w:hint="default"/>
      </w:rPr>
    </w:lvl>
    <w:lvl w:ilvl="5" w:tplc="0C090005" w:tentative="1">
      <w:start w:val="1"/>
      <w:numFmt w:val="bullet"/>
      <w:lvlText w:val=""/>
      <w:lvlJc w:val="left"/>
      <w:pPr>
        <w:ind w:left="5505" w:hanging="360"/>
      </w:pPr>
      <w:rPr>
        <w:rFonts w:ascii="Wingdings" w:hAnsi="Wingdings" w:hint="default"/>
      </w:rPr>
    </w:lvl>
    <w:lvl w:ilvl="6" w:tplc="0C090001" w:tentative="1">
      <w:start w:val="1"/>
      <w:numFmt w:val="bullet"/>
      <w:lvlText w:val=""/>
      <w:lvlJc w:val="left"/>
      <w:pPr>
        <w:ind w:left="6225" w:hanging="360"/>
      </w:pPr>
      <w:rPr>
        <w:rFonts w:ascii="Symbol" w:hAnsi="Symbol" w:hint="default"/>
      </w:rPr>
    </w:lvl>
    <w:lvl w:ilvl="7" w:tplc="0C090003" w:tentative="1">
      <w:start w:val="1"/>
      <w:numFmt w:val="bullet"/>
      <w:lvlText w:val="o"/>
      <w:lvlJc w:val="left"/>
      <w:pPr>
        <w:ind w:left="6945" w:hanging="360"/>
      </w:pPr>
      <w:rPr>
        <w:rFonts w:ascii="Courier New" w:hAnsi="Courier New" w:cs="Courier New" w:hint="default"/>
      </w:rPr>
    </w:lvl>
    <w:lvl w:ilvl="8" w:tplc="0C090005" w:tentative="1">
      <w:start w:val="1"/>
      <w:numFmt w:val="bullet"/>
      <w:lvlText w:val=""/>
      <w:lvlJc w:val="left"/>
      <w:pPr>
        <w:ind w:left="7665" w:hanging="360"/>
      </w:pPr>
      <w:rPr>
        <w:rFonts w:ascii="Wingdings" w:hAnsi="Wingdings" w:hint="default"/>
      </w:rPr>
    </w:lvl>
  </w:abstractNum>
  <w:abstractNum w:abstractNumId="8" w15:restartNumberingAfterBreak="0">
    <w:nsid w:val="753B1B44"/>
    <w:multiLevelType w:val="hybridMultilevel"/>
    <w:tmpl w:val="4E66232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1"/>
  </w:num>
  <w:num w:numId="6">
    <w:abstractNumId w:val="7"/>
  </w:num>
  <w:num w:numId="7">
    <w:abstractNumId w:val="8"/>
  </w:num>
  <w:num w:numId="8">
    <w:abstractNumId w:val="0"/>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667E"/>
    <w:rsid w:val="00007A7B"/>
    <w:rsid w:val="00012F0A"/>
    <w:rsid w:val="000149BC"/>
    <w:rsid w:val="0001556E"/>
    <w:rsid w:val="000161E4"/>
    <w:rsid w:val="00016D80"/>
    <w:rsid w:val="00022BFE"/>
    <w:rsid w:val="00025103"/>
    <w:rsid w:val="00025D6B"/>
    <w:rsid w:val="000302A2"/>
    <w:rsid w:val="00037461"/>
    <w:rsid w:val="00040C3D"/>
    <w:rsid w:val="00042E20"/>
    <w:rsid w:val="00042EB7"/>
    <w:rsid w:val="0004719F"/>
    <w:rsid w:val="0005395D"/>
    <w:rsid w:val="00054FD1"/>
    <w:rsid w:val="00055585"/>
    <w:rsid w:val="000619FD"/>
    <w:rsid w:val="000627B8"/>
    <w:rsid w:val="00062938"/>
    <w:rsid w:val="00065A2B"/>
    <w:rsid w:val="000671D8"/>
    <w:rsid w:val="000722C1"/>
    <w:rsid w:val="00072972"/>
    <w:rsid w:val="00074101"/>
    <w:rsid w:val="000743CC"/>
    <w:rsid w:val="00076AC3"/>
    <w:rsid w:val="00080E0A"/>
    <w:rsid w:val="00083018"/>
    <w:rsid w:val="000837EB"/>
    <w:rsid w:val="00084727"/>
    <w:rsid w:val="0008728E"/>
    <w:rsid w:val="00087D2D"/>
    <w:rsid w:val="000906BF"/>
    <w:rsid w:val="00090B11"/>
    <w:rsid w:val="000925EA"/>
    <w:rsid w:val="00094A3B"/>
    <w:rsid w:val="000A28D4"/>
    <w:rsid w:val="000A7E6D"/>
    <w:rsid w:val="000A7EB6"/>
    <w:rsid w:val="000B09EA"/>
    <w:rsid w:val="000B305D"/>
    <w:rsid w:val="000B54C6"/>
    <w:rsid w:val="000B76FC"/>
    <w:rsid w:val="000B7957"/>
    <w:rsid w:val="000C0A3E"/>
    <w:rsid w:val="000C19CF"/>
    <w:rsid w:val="000C478C"/>
    <w:rsid w:val="000C4F62"/>
    <w:rsid w:val="000C6225"/>
    <w:rsid w:val="000D1669"/>
    <w:rsid w:val="000D59EB"/>
    <w:rsid w:val="000D5F3F"/>
    <w:rsid w:val="000D7DA4"/>
    <w:rsid w:val="000E2A33"/>
    <w:rsid w:val="000E3643"/>
    <w:rsid w:val="000F07B7"/>
    <w:rsid w:val="000F38D0"/>
    <w:rsid w:val="000F3D53"/>
    <w:rsid w:val="000F6573"/>
    <w:rsid w:val="000F77D2"/>
    <w:rsid w:val="00100747"/>
    <w:rsid w:val="00101F2C"/>
    <w:rsid w:val="00105604"/>
    <w:rsid w:val="00106EE3"/>
    <w:rsid w:val="00111FF4"/>
    <w:rsid w:val="00112BB7"/>
    <w:rsid w:val="001134C7"/>
    <w:rsid w:val="001135A3"/>
    <w:rsid w:val="0011458E"/>
    <w:rsid w:val="0011583A"/>
    <w:rsid w:val="00116837"/>
    <w:rsid w:val="0011731F"/>
    <w:rsid w:val="00117323"/>
    <w:rsid w:val="00117DD6"/>
    <w:rsid w:val="00120B67"/>
    <w:rsid w:val="00123BF8"/>
    <w:rsid w:val="001316F8"/>
    <w:rsid w:val="00133AA7"/>
    <w:rsid w:val="001343CA"/>
    <w:rsid w:val="00135B86"/>
    <w:rsid w:val="00142345"/>
    <w:rsid w:val="00143A1C"/>
    <w:rsid w:val="001462EE"/>
    <w:rsid w:val="001508F7"/>
    <w:rsid w:val="001525D3"/>
    <w:rsid w:val="00160437"/>
    <w:rsid w:val="00160819"/>
    <w:rsid w:val="00161444"/>
    <w:rsid w:val="001660EE"/>
    <w:rsid w:val="00170846"/>
    <w:rsid w:val="00170848"/>
    <w:rsid w:val="00180F3D"/>
    <w:rsid w:val="00181949"/>
    <w:rsid w:val="001819EE"/>
    <w:rsid w:val="00183AB0"/>
    <w:rsid w:val="0018486C"/>
    <w:rsid w:val="00196D9E"/>
    <w:rsid w:val="001A0B26"/>
    <w:rsid w:val="001A48DF"/>
    <w:rsid w:val="001A4F43"/>
    <w:rsid w:val="001A686E"/>
    <w:rsid w:val="001A6D60"/>
    <w:rsid w:val="001B111A"/>
    <w:rsid w:val="001B2748"/>
    <w:rsid w:val="001C0E33"/>
    <w:rsid w:val="001C2FC5"/>
    <w:rsid w:val="001C3C45"/>
    <w:rsid w:val="001C584E"/>
    <w:rsid w:val="001C5DC8"/>
    <w:rsid w:val="001C62AD"/>
    <w:rsid w:val="001C7272"/>
    <w:rsid w:val="001C74C4"/>
    <w:rsid w:val="001C7CEB"/>
    <w:rsid w:val="001C7F67"/>
    <w:rsid w:val="001D08CB"/>
    <w:rsid w:val="001D0D34"/>
    <w:rsid w:val="001D5C8E"/>
    <w:rsid w:val="00201CC0"/>
    <w:rsid w:val="00203E21"/>
    <w:rsid w:val="0020454C"/>
    <w:rsid w:val="00206466"/>
    <w:rsid w:val="002075FD"/>
    <w:rsid w:val="00207655"/>
    <w:rsid w:val="002124AF"/>
    <w:rsid w:val="002130DB"/>
    <w:rsid w:val="002159DC"/>
    <w:rsid w:val="00221365"/>
    <w:rsid w:val="0022210E"/>
    <w:rsid w:val="00223D5B"/>
    <w:rsid w:val="00225A64"/>
    <w:rsid w:val="0022642B"/>
    <w:rsid w:val="00230CAF"/>
    <w:rsid w:val="00232FBF"/>
    <w:rsid w:val="0023617A"/>
    <w:rsid w:val="00236D17"/>
    <w:rsid w:val="00241BC5"/>
    <w:rsid w:val="00247841"/>
    <w:rsid w:val="002604E2"/>
    <w:rsid w:val="00260760"/>
    <w:rsid w:val="00261A5E"/>
    <w:rsid w:val="002639BE"/>
    <w:rsid w:val="00263ADD"/>
    <w:rsid w:val="002654A6"/>
    <w:rsid w:val="00265803"/>
    <w:rsid w:val="00265F41"/>
    <w:rsid w:val="00267D61"/>
    <w:rsid w:val="00274DA8"/>
    <w:rsid w:val="00283191"/>
    <w:rsid w:val="0028328C"/>
    <w:rsid w:val="00290022"/>
    <w:rsid w:val="00290D34"/>
    <w:rsid w:val="0029159B"/>
    <w:rsid w:val="00293DB3"/>
    <w:rsid w:val="00294769"/>
    <w:rsid w:val="002973B5"/>
    <w:rsid w:val="002A1557"/>
    <w:rsid w:val="002B1BF9"/>
    <w:rsid w:val="002B3708"/>
    <w:rsid w:val="002C3F3E"/>
    <w:rsid w:val="002C7308"/>
    <w:rsid w:val="002C7FCE"/>
    <w:rsid w:val="002D378F"/>
    <w:rsid w:val="002D381A"/>
    <w:rsid w:val="002D3C51"/>
    <w:rsid w:val="002D4B63"/>
    <w:rsid w:val="002D5A20"/>
    <w:rsid w:val="002D604F"/>
    <w:rsid w:val="002E4C63"/>
    <w:rsid w:val="002F10A4"/>
    <w:rsid w:val="002F3744"/>
    <w:rsid w:val="002F5EEA"/>
    <w:rsid w:val="002F615A"/>
    <w:rsid w:val="00300986"/>
    <w:rsid w:val="003031D9"/>
    <w:rsid w:val="0030345E"/>
    <w:rsid w:val="003079BC"/>
    <w:rsid w:val="00311117"/>
    <w:rsid w:val="0031684E"/>
    <w:rsid w:val="00324034"/>
    <w:rsid w:val="00325618"/>
    <w:rsid w:val="00330A9B"/>
    <w:rsid w:val="003355F6"/>
    <w:rsid w:val="0033747D"/>
    <w:rsid w:val="00337946"/>
    <w:rsid w:val="003405D1"/>
    <w:rsid w:val="00346DD3"/>
    <w:rsid w:val="00350441"/>
    <w:rsid w:val="00361D35"/>
    <w:rsid w:val="00364CAD"/>
    <w:rsid w:val="00367DB2"/>
    <w:rsid w:val="00371A4A"/>
    <w:rsid w:val="0037436B"/>
    <w:rsid w:val="00375239"/>
    <w:rsid w:val="00381623"/>
    <w:rsid w:val="0038272E"/>
    <w:rsid w:val="00384F8D"/>
    <w:rsid w:val="00385391"/>
    <w:rsid w:val="00392D3D"/>
    <w:rsid w:val="00394040"/>
    <w:rsid w:val="003A18E5"/>
    <w:rsid w:val="003A1920"/>
    <w:rsid w:val="003A1A39"/>
    <w:rsid w:val="003A53FA"/>
    <w:rsid w:val="003A5F07"/>
    <w:rsid w:val="003A6B54"/>
    <w:rsid w:val="003B448E"/>
    <w:rsid w:val="003B7B46"/>
    <w:rsid w:val="003D01AA"/>
    <w:rsid w:val="003D108C"/>
    <w:rsid w:val="003D2CDB"/>
    <w:rsid w:val="003D4E2E"/>
    <w:rsid w:val="003D5710"/>
    <w:rsid w:val="003D6A2F"/>
    <w:rsid w:val="003E02D9"/>
    <w:rsid w:val="003E1D31"/>
    <w:rsid w:val="003E27B3"/>
    <w:rsid w:val="003E5DE1"/>
    <w:rsid w:val="003E659B"/>
    <w:rsid w:val="003F078A"/>
    <w:rsid w:val="003F41CA"/>
    <w:rsid w:val="003F5570"/>
    <w:rsid w:val="00401AE9"/>
    <w:rsid w:val="00406BC8"/>
    <w:rsid w:val="00413D53"/>
    <w:rsid w:val="00415F7B"/>
    <w:rsid w:val="00416365"/>
    <w:rsid w:val="00417786"/>
    <w:rsid w:val="004200B8"/>
    <w:rsid w:val="00421095"/>
    <w:rsid w:val="0042116F"/>
    <w:rsid w:val="00421CD4"/>
    <w:rsid w:val="00425C39"/>
    <w:rsid w:val="00426B45"/>
    <w:rsid w:val="0042778A"/>
    <w:rsid w:val="00431BAF"/>
    <w:rsid w:val="00436A1C"/>
    <w:rsid w:val="0043714D"/>
    <w:rsid w:val="00441CA8"/>
    <w:rsid w:val="00443E64"/>
    <w:rsid w:val="00451D16"/>
    <w:rsid w:val="00453176"/>
    <w:rsid w:val="004543A1"/>
    <w:rsid w:val="004620B7"/>
    <w:rsid w:val="00464B6D"/>
    <w:rsid w:val="0047074C"/>
    <w:rsid w:val="00473EDF"/>
    <w:rsid w:val="0047404C"/>
    <w:rsid w:val="00474DE5"/>
    <w:rsid w:val="00475A07"/>
    <w:rsid w:val="0047637F"/>
    <w:rsid w:val="0047773B"/>
    <w:rsid w:val="00480C26"/>
    <w:rsid w:val="00483E2A"/>
    <w:rsid w:val="00483FDE"/>
    <w:rsid w:val="004910D8"/>
    <w:rsid w:val="00493FFD"/>
    <w:rsid w:val="00495106"/>
    <w:rsid w:val="0049597A"/>
    <w:rsid w:val="00497CC1"/>
    <w:rsid w:val="004A321C"/>
    <w:rsid w:val="004A6944"/>
    <w:rsid w:val="004B018B"/>
    <w:rsid w:val="004B2198"/>
    <w:rsid w:val="004B4B82"/>
    <w:rsid w:val="004B4E78"/>
    <w:rsid w:val="004C0D36"/>
    <w:rsid w:val="004C2205"/>
    <w:rsid w:val="004C66E5"/>
    <w:rsid w:val="004C79A1"/>
    <w:rsid w:val="004D087C"/>
    <w:rsid w:val="004D2527"/>
    <w:rsid w:val="004D6D89"/>
    <w:rsid w:val="004E193F"/>
    <w:rsid w:val="004F004B"/>
    <w:rsid w:val="004F0718"/>
    <w:rsid w:val="004F4326"/>
    <w:rsid w:val="004F4BE6"/>
    <w:rsid w:val="004F5F88"/>
    <w:rsid w:val="004F7E4C"/>
    <w:rsid w:val="00500EDB"/>
    <w:rsid w:val="00504082"/>
    <w:rsid w:val="00511DCF"/>
    <w:rsid w:val="00512724"/>
    <w:rsid w:val="00512C32"/>
    <w:rsid w:val="00513B35"/>
    <w:rsid w:val="00517E82"/>
    <w:rsid w:val="005201A4"/>
    <w:rsid w:val="00523824"/>
    <w:rsid w:val="005255D6"/>
    <w:rsid w:val="0053060A"/>
    <w:rsid w:val="00533C61"/>
    <w:rsid w:val="00537778"/>
    <w:rsid w:val="00540998"/>
    <w:rsid w:val="00542B4D"/>
    <w:rsid w:val="00544229"/>
    <w:rsid w:val="0054557C"/>
    <w:rsid w:val="005458F4"/>
    <w:rsid w:val="00547C9F"/>
    <w:rsid w:val="00550A41"/>
    <w:rsid w:val="0056781B"/>
    <w:rsid w:val="005711AA"/>
    <w:rsid w:val="0057172B"/>
    <w:rsid w:val="00571A16"/>
    <w:rsid w:val="0057208E"/>
    <w:rsid w:val="0057437C"/>
    <w:rsid w:val="00576B03"/>
    <w:rsid w:val="005771D1"/>
    <w:rsid w:val="00577A06"/>
    <w:rsid w:val="00580F4D"/>
    <w:rsid w:val="00580FAA"/>
    <w:rsid w:val="00581A63"/>
    <w:rsid w:val="0058604B"/>
    <w:rsid w:val="00586461"/>
    <w:rsid w:val="00586DA7"/>
    <w:rsid w:val="00587A41"/>
    <w:rsid w:val="00590859"/>
    <w:rsid w:val="005914C8"/>
    <w:rsid w:val="0059170E"/>
    <w:rsid w:val="0059429A"/>
    <w:rsid w:val="005969B1"/>
    <w:rsid w:val="005A1EB2"/>
    <w:rsid w:val="005A3774"/>
    <w:rsid w:val="005A4EC2"/>
    <w:rsid w:val="005A57C4"/>
    <w:rsid w:val="005A6EFD"/>
    <w:rsid w:val="005B246F"/>
    <w:rsid w:val="005B4775"/>
    <w:rsid w:val="005C040B"/>
    <w:rsid w:val="005C4C27"/>
    <w:rsid w:val="005C51E1"/>
    <w:rsid w:val="005D1809"/>
    <w:rsid w:val="005D51C9"/>
    <w:rsid w:val="005D5261"/>
    <w:rsid w:val="005D5CCE"/>
    <w:rsid w:val="005E18B0"/>
    <w:rsid w:val="005E42ED"/>
    <w:rsid w:val="005E4545"/>
    <w:rsid w:val="005F225D"/>
    <w:rsid w:val="005F3320"/>
    <w:rsid w:val="005F5652"/>
    <w:rsid w:val="005F5D9C"/>
    <w:rsid w:val="005F7ABD"/>
    <w:rsid w:val="00604A60"/>
    <w:rsid w:val="006059EB"/>
    <w:rsid w:val="00605A75"/>
    <w:rsid w:val="006075AD"/>
    <w:rsid w:val="00607F45"/>
    <w:rsid w:val="00610D69"/>
    <w:rsid w:val="00611A42"/>
    <w:rsid w:val="00612144"/>
    <w:rsid w:val="006135AC"/>
    <w:rsid w:val="00614189"/>
    <w:rsid w:val="00614516"/>
    <w:rsid w:val="00616093"/>
    <w:rsid w:val="00626465"/>
    <w:rsid w:val="00636645"/>
    <w:rsid w:val="00636F06"/>
    <w:rsid w:val="00643468"/>
    <w:rsid w:val="006434BF"/>
    <w:rsid w:val="006443BC"/>
    <w:rsid w:val="00650A34"/>
    <w:rsid w:val="00661F6F"/>
    <w:rsid w:val="00667768"/>
    <w:rsid w:val="0067216C"/>
    <w:rsid w:val="00672D7B"/>
    <w:rsid w:val="00673607"/>
    <w:rsid w:val="00673990"/>
    <w:rsid w:val="00680C4F"/>
    <w:rsid w:val="00684512"/>
    <w:rsid w:val="00692812"/>
    <w:rsid w:val="006A259A"/>
    <w:rsid w:val="006A4ACA"/>
    <w:rsid w:val="006A6697"/>
    <w:rsid w:val="006B2A61"/>
    <w:rsid w:val="006B3D74"/>
    <w:rsid w:val="006B55B7"/>
    <w:rsid w:val="006B674F"/>
    <w:rsid w:val="006C1F8A"/>
    <w:rsid w:val="006C6CBD"/>
    <w:rsid w:val="006D02CC"/>
    <w:rsid w:val="006D53B9"/>
    <w:rsid w:val="006D61C8"/>
    <w:rsid w:val="006E2AC3"/>
    <w:rsid w:val="006E432E"/>
    <w:rsid w:val="006E468A"/>
    <w:rsid w:val="006E4ADE"/>
    <w:rsid w:val="006E629B"/>
    <w:rsid w:val="006E7A88"/>
    <w:rsid w:val="006F1B00"/>
    <w:rsid w:val="006F4147"/>
    <w:rsid w:val="006F6D5C"/>
    <w:rsid w:val="006F77D2"/>
    <w:rsid w:val="007027FC"/>
    <w:rsid w:val="00703E30"/>
    <w:rsid w:val="00711CF7"/>
    <w:rsid w:val="00715111"/>
    <w:rsid w:val="007154C9"/>
    <w:rsid w:val="007167F6"/>
    <w:rsid w:val="007204FE"/>
    <w:rsid w:val="00723B04"/>
    <w:rsid w:val="007240FC"/>
    <w:rsid w:val="00725487"/>
    <w:rsid w:val="00725C28"/>
    <w:rsid w:val="0072618A"/>
    <w:rsid w:val="00726924"/>
    <w:rsid w:val="0073054C"/>
    <w:rsid w:val="00732CBE"/>
    <w:rsid w:val="007331AD"/>
    <w:rsid w:val="00734B8F"/>
    <w:rsid w:val="0073689C"/>
    <w:rsid w:val="0074202F"/>
    <w:rsid w:val="00742541"/>
    <w:rsid w:val="00742D73"/>
    <w:rsid w:val="0074555D"/>
    <w:rsid w:val="00751168"/>
    <w:rsid w:val="00751E87"/>
    <w:rsid w:val="0075737A"/>
    <w:rsid w:val="00766B20"/>
    <w:rsid w:val="00767228"/>
    <w:rsid w:val="007718A5"/>
    <w:rsid w:val="007720E0"/>
    <w:rsid w:val="00774505"/>
    <w:rsid w:val="007755F9"/>
    <w:rsid w:val="00777B0F"/>
    <w:rsid w:val="00780685"/>
    <w:rsid w:val="0078372D"/>
    <w:rsid w:val="007842EB"/>
    <w:rsid w:val="00786523"/>
    <w:rsid w:val="00786F84"/>
    <w:rsid w:val="007901E5"/>
    <w:rsid w:val="00790DB0"/>
    <w:rsid w:val="00791B24"/>
    <w:rsid w:val="007A03C3"/>
    <w:rsid w:val="007A1540"/>
    <w:rsid w:val="007A1BD5"/>
    <w:rsid w:val="007A267A"/>
    <w:rsid w:val="007A2C53"/>
    <w:rsid w:val="007A45F7"/>
    <w:rsid w:val="007A573A"/>
    <w:rsid w:val="007A6297"/>
    <w:rsid w:val="007B1186"/>
    <w:rsid w:val="007B3B70"/>
    <w:rsid w:val="007B43A1"/>
    <w:rsid w:val="007B7369"/>
    <w:rsid w:val="007C1462"/>
    <w:rsid w:val="007D09EA"/>
    <w:rsid w:val="007D0B2F"/>
    <w:rsid w:val="007D38BD"/>
    <w:rsid w:val="007D4C15"/>
    <w:rsid w:val="007D70E0"/>
    <w:rsid w:val="007E02FD"/>
    <w:rsid w:val="007E383B"/>
    <w:rsid w:val="007F0FF7"/>
    <w:rsid w:val="007F442B"/>
    <w:rsid w:val="007F4E06"/>
    <w:rsid w:val="007F5597"/>
    <w:rsid w:val="00803EA9"/>
    <w:rsid w:val="00806363"/>
    <w:rsid w:val="00811459"/>
    <w:rsid w:val="00814850"/>
    <w:rsid w:val="00815A51"/>
    <w:rsid w:val="00816304"/>
    <w:rsid w:val="00817AD5"/>
    <w:rsid w:val="00820668"/>
    <w:rsid w:val="00823F14"/>
    <w:rsid w:val="00824112"/>
    <w:rsid w:val="00827F52"/>
    <w:rsid w:val="008308E4"/>
    <w:rsid w:val="00832745"/>
    <w:rsid w:val="00836E09"/>
    <w:rsid w:val="00841037"/>
    <w:rsid w:val="00847053"/>
    <w:rsid w:val="008529AE"/>
    <w:rsid w:val="00856ACB"/>
    <w:rsid w:val="008573C0"/>
    <w:rsid w:val="00860CB4"/>
    <w:rsid w:val="0086174B"/>
    <w:rsid w:val="008628B6"/>
    <w:rsid w:val="008660FC"/>
    <w:rsid w:val="00867CE8"/>
    <w:rsid w:val="00871238"/>
    <w:rsid w:val="008718FB"/>
    <w:rsid w:val="008728D3"/>
    <w:rsid w:val="008738C7"/>
    <w:rsid w:val="00873EB3"/>
    <w:rsid w:val="00877544"/>
    <w:rsid w:val="00882A92"/>
    <w:rsid w:val="00897A94"/>
    <w:rsid w:val="008B02A0"/>
    <w:rsid w:val="008B3E8F"/>
    <w:rsid w:val="008C2EA3"/>
    <w:rsid w:val="008C3EE2"/>
    <w:rsid w:val="008C3F34"/>
    <w:rsid w:val="008C5A5B"/>
    <w:rsid w:val="008C5DD4"/>
    <w:rsid w:val="008D0998"/>
    <w:rsid w:val="008D0999"/>
    <w:rsid w:val="008D0CDC"/>
    <w:rsid w:val="008D2416"/>
    <w:rsid w:val="008D4308"/>
    <w:rsid w:val="008D47CD"/>
    <w:rsid w:val="008D4FB2"/>
    <w:rsid w:val="008D54D2"/>
    <w:rsid w:val="008F0B93"/>
    <w:rsid w:val="008F219C"/>
    <w:rsid w:val="009010EA"/>
    <w:rsid w:val="00905542"/>
    <w:rsid w:val="009068D1"/>
    <w:rsid w:val="00910617"/>
    <w:rsid w:val="009110F4"/>
    <w:rsid w:val="009117DF"/>
    <w:rsid w:val="00912E21"/>
    <w:rsid w:val="00913480"/>
    <w:rsid w:val="00915BD7"/>
    <w:rsid w:val="009171F0"/>
    <w:rsid w:val="009227C1"/>
    <w:rsid w:val="009316C6"/>
    <w:rsid w:val="00936915"/>
    <w:rsid w:val="0093695C"/>
    <w:rsid w:val="0093733B"/>
    <w:rsid w:val="00937C6F"/>
    <w:rsid w:val="0094142A"/>
    <w:rsid w:val="009420C5"/>
    <w:rsid w:val="00942301"/>
    <w:rsid w:val="009423A8"/>
    <w:rsid w:val="00943206"/>
    <w:rsid w:val="00944468"/>
    <w:rsid w:val="00945530"/>
    <w:rsid w:val="00964B3B"/>
    <w:rsid w:val="0096587C"/>
    <w:rsid w:val="00967C38"/>
    <w:rsid w:val="00970928"/>
    <w:rsid w:val="009715FF"/>
    <w:rsid w:val="00974516"/>
    <w:rsid w:val="00974CE5"/>
    <w:rsid w:val="00977D77"/>
    <w:rsid w:val="0098038C"/>
    <w:rsid w:val="00982795"/>
    <w:rsid w:val="009828C5"/>
    <w:rsid w:val="00982E27"/>
    <w:rsid w:val="00985085"/>
    <w:rsid w:val="00986308"/>
    <w:rsid w:val="0099340E"/>
    <w:rsid w:val="009965E2"/>
    <w:rsid w:val="009A2C36"/>
    <w:rsid w:val="009A735B"/>
    <w:rsid w:val="009B1DB4"/>
    <w:rsid w:val="009B37C0"/>
    <w:rsid w:val="009B3D6C"/>
    <w:rsid w:val="009B5AAD"/>
    <w:rsid w:val="009B6557"/>
    <w:rsid w:val="009B7356"/>
    <w:rsid w:val="009D0130"/>
    <w:rsid w:val="009D1DA8"/>
    <w:rsid w:val="009D6DF0"/>
    <w:rsid w:val="009D7073"/>
    <w:rsid w:val="009D70F5"/>
    <w:rsid w:val="009D7583"/>
    <w:rsid w:val="009E17C5"/>
    <w:rsid w:val="009E2475"/>
    <w:rsid w:val="009F23FE"/>
    <w:rsid w:val="009F2436"/>
    <w:rsid w:val="009F264D"/>
    <w:rsid w:val="009F66DC"/>
    <w:rsid w:val="00A00489"/>
    <w:rsid w:val="00A007CC"/>
    <w:rsid w:val="00A024A0"/>
    <w:rsid w:val="00A0299F"/>
    <w:rsid w:val="00A02E82"/>
    <w:rsid w:val="00A05EDE"/>
    <w:rsid w:val="00A07F98"/>
    <w:rsid w:val="00A137B9"/>
    <w:rsid w:val="00A16562"/>
    <w:rsid w:val="00A21E58"/>
    <w:rsid w:val="00A23C08"/>
    <w:rsid w:val="00A23EE2"/>
    <w:rsid w:val="00A244CA"/>
    <w:rsid w:val="00A314B3"/>
    <w:rsid w:val="00A370CF"/>
    <w:rsid w:val="00A454A7"/>
    <w:rsid w:val="00A47332"/>
    <w:rsid w:val="00A54B68"/>
    <w:rsid w:val="00A5599C"/>
    <w:rsid w:val="00A60E13"/>
    <w:rsid w:val="00A65913"/>
    <w:rsid w:val="00A66F9C"/>
    <w:rsid w:val="00A677FF"/>
    <w:rsid w:val="00A72AE8"/>
    <w:rsid w:val="00A733AF"/>
    <w:rsid w:val="00A75E15"/>
    <w:rsid w:val="00A76F36"/>
    <w:rsid w:val="00A815DD"/>
    <w:rsid w:val="00A83A81"/>
    <w:rsid w:val="00A84CAC"/>
    <w:rsid w:val="00A8501A"/>
    <w:rsid w:val="00A90707"/>
    <w:rsid w:val="00A92518"/>
    <w:rsid w:val="00A92605"/>
    <w:rsid w:val="00AA02CD"/>
    <w:rsid w:val="00AA1BE0"/>
    <w:rsid w:val="00AA5ED2"/>
    <w:rsid w:val="00AB10EE"/>
    <w:rsid w:val="00AB1C62"/>
    <w:rsid w:val="00AB5720"/>
    <w:rsid w:val="00AC488B"/>
    <w:rsid w:val="00AC7AE7"/>
    <w:rsid w:val="00AD292D"/>
    <w:rsid w:val="00AD53B7"/>
    <w:rsid w:val="00AE197A"/>
    <w:rsid w:val="00AE4F36"/>
    <w:rsid w:val="00AE5360"/>
    <w:rsid w:val="00AE6432"/>
    <w:rsid w:val="00AE70E4"/>
    <w:rsid w:val="00AF0E86"/>
    <w:rsid w:val="00AF33C2"/>
    <w:rsid w:val="00AF3F0B"/>
    <w:rsid w:val="00AF671E"/>
    <w:rsid w:val="00B006B1"/>
    <w:rsid w:val="00B01873"/>
    <w:rsid w:val="00B12E0C"/>
    <w:rsid w:val="00B14E36"/>
    <w:rsid w:val="00B22722"/>
    <w:rsid w:val="00B235A5"/>
    <w:rsid w:val="00B239C8"/>
    <w:rsid w:val="00B30457"/>
    <w:rsid w:val="00B32E11"/>
    <w:rsid w:val="00B34851"/>
    <w:rsid w:val="00B3517F"/>
    <w:rsid w:val="00B37FE9"/>
    <w:rsid w:val="00B40DE0"/>
    <w:rsid w:val="00B44771"/>
    <w:rsid w:val="00B46D80"/>
    <w:rsid w:val="00B52D53"/>
    <w:rsid w:val="00B53FFC"/>
    <w:rsid w:val="00B64FA3"/>
    <w:rsid w:val="00B65215"/>
    <w:rsid w:val="00B7058E"/>
    <w:rsid w:val="00B71209"/>
    <w:rsid w:val="00B71A2E"/>
    <w:rsid w:val="00B720A4"/>
    <w:rsid w:val="00B7303C"/>
    <w:rsid w:val="00B7398F"/>
    <w:rsid w:val="00B73EED"/>
    <w:rsid w:val="00B76E49"/>
    <w:rsid w:val="00B773EB"/>
    <w:rsid w:val="00B81C9C"/>
    <w:rsid w:val="00B83071"/>
    <w:rsid w:val="00B830DE"/>
    <w:rsid w:val="00B83E02"/>
    <w:rsid w:val="00B90F59"/>
    <w:rsid w:val="00B926BA"/>
    <w:rsid w:val="00B94344"/>
    <w:rsid w:val="00B957D0"/>
    <w:rsid w:val="00B95D99"/>
    <w:rsid w:val="00B96069"/>
    <w:rsid w:val="00B97B3C"/>
    <w:rsid w:val="00BA2D20"/>
    <w:rsid w:val="00BA62FE"/>
    <w:rsid w:val="00BA63ED"/>
    <w:rsid w:val="00BB4FBA"/>
    <w:rsid w:val="00BB7F3B"/>
    <w:rsid w:val="00BD0B3A"/>
    <w:rsid w:val="00BD4003"/>
    <w:rsid w:val="00BD4102"/>
    <w:rsid w:val="00BD47B1"/>
    <w:rsid w:val="00BD5639"/>
    <w:rsid w:val="00BE0D72"/>
    <w:rsid w:val="00BE0DCD"/>
    <w:rsid w:val="00BE5B5E"/>
    <w:rsid w:val="00BE74E7"/>
    <w:rsid w:val="00BF4188"/>
    <w:rsid w:val="00BF45E6"/>
    <w:rsid w:val="00BF5BC5"/>
    <w:rsid w:val="00C009E0"/>
    <w:rsid w:val="00C025F2"/>
    <w:rsid w:val="00C0365E"/>
    <w:rsid w:val="00C06A82"/>
    <w:rsid w:val="00C07667"/>
    <w:rsid w:val="00C11422"/>
    <w:rsid w:val="00C11712"/>
    <w:rsid w:val="00C14457"/>
    <w:rsid w:val="00C14B21"/>
    <w:rsid w:val="00C16E50"/>
    <w:rsid w:val="00C21B0B"/>
    <w:rsid w:val="00C24545"/>
    <w:rsid w:val="00C25811"/>
    <w:rsid w:val="00C2639D"/>
    <w:rsid w:val="00C27A51"/>
    <w:rsid w:val="00C300DD"/>
    <w:rsid w:val="00C353D4"/>
    <w:rsid w:val="00C416FB"/>
    <w:rsid w:val="00C41B18"/>
    <w:rsid w:val="00C428DC"/>
    <w:rsid w:val="00C465D2"/>
    <w:rsid w:val="00C50485"/>
    <w:rsid w:val="00C5613A"/>
    <w:rsid w:val="00C61A10"/>
    <w:rsid w:val="00C649A5"/>
    <w:rsid w:val="00C668F2"/>
    <w:rsid w:val="00C7057A"/>
    <w:rsid w:val="00C71804"/>
    <w:rsid w:val="00C71D12"/>
    <w:rsid w:val="00C72C25"/>
    <w:rsid w:val="00C77679"/>
    <w:rsid w:val="00C80A89"/>
    <w:rsid w:val="00C84D7F"/>
    <w:rsid w:val="00C941EE"/>
    <w:rsid w:val="00C948FA"/>
    <w:rsid w:val="00CA1CB8"/>
    <w:rsid w:val="00CA25C6"/>
    <w:rsid w:val="00CA2ED6"/>
    <w:rsid w:val="00CA45D7"/>
    <w:rsid w:val="00CA5078"/>
    <w:rsid w:val="00CA6851"/>
    <w:rsid w:val="00CA7E68"/>
    <w:rsid w:val="00CB09AA"/>
    <w:rsid w:val="00CB114B"/>
    <w:rsid w:val="00CB3E7D"/>
    <w:rsid w:val="00CB53BD"/>
    <w:rsid w:val="00CB6870"/>
    <w:rsid w:val="00CB68EF"/>
    <w:rsid w:val="00CC52EC"/>
    <w:rsid w:val="00CD040D"/>
    <w:rsid w:val="00CD1858"/>
    <w:rsid w:val="00CD3258"/>
    <w:rsid w:val="00CD6F51"/>
    <w:rsid w:val="00CE67DC"/>
    <w:rsid w:val="00CE6E0D"/>
    <w:rsid w:val="00CE7973"/>
    <w:rsid w:val="00CF00B6"/>
    <w:rsid w:val="00CF27C2"/>
    <w:rsid w:val="00CF2BA2"/>
    <w:rsid w:val="00CF39C6"/>
    <w:rsid w:val="00CF4282"/>
    <w:rsid w:val="00D00D13"/>
    <w:rsid w:val="00D045BD"/>
    <w:rsid w:val="00D07D80"/>
    <w:rsid w:val="00D1162E"/>
    <w:rsid w:val="00D1202B"/>
    <w:rsid w:val="00D1299B"/>
    <w:rsid w:val="00D130D8"/>
    <w:rsid w:val="00D1516D"/>
    <w:rsid w:val="00D15457"/>
    <w:rsid w:val="00D163CF"/>
    <w:rsid w:val="00D17207"/>
    <w:rsid w:val="00D278B3"/>
    <w:rsid w:val="00D279B8"/>
    <w:rsid w:val="00D309A6"/>
    <w:rsid w:val="00D31EE1"/>
    <w:rsid w:val="00D37696"/>
    <w:rsid w:val="00D403A5"/>
    <w:rsid w:val="00D40786"/>
    <w:rsid w:val="00D464B6"/>
    <w:rsid w:val="00D46881"/>
    <w:rsid w:val="00D46EDB"/>
    <w:rsid w:val="00D47FF7"/>
    <w:rsid w:val="00D526A6"/>
    <w:rsid w:val="00D55E33"/>
    <w:rsid w:val="00D55FDA"/>
    <w:rsid w:val="00D57492"/>
    <w:rsid w:val="00D57AB7"/>
    <w:rsid w:val="00D613D8"/>
    <w:rsid w:val="00D61B32"/>
    <w:rsid w:val="00D62631"/>
    <w:rsid w:val="00D634F6"/>
    <w:rsid w:val="00D6389F"/>
    <w:rsid w:val="00D67C76"/>
    <w:rsid w:val="00D73FA7"/>
    <w:rsid w:val="00D91DC8"/>
    <w:rsid w:val="00D940BB"/>
    <w:rsid w:val="00D95A8C"/>
    <w:rsid w:val="00DA0CFF"/>
    <w:rsid w:val="00DA429E"/>
    <w:rsid w:val="00DA5053"/>
    <w:rsid w:val="00DA5204"/>
    <w:rsid w:val="00DB05B5"/>
    <w:rsid w:val="00DB12DB"/>
    <w:rsid w:val="00DB2937"/>
    <w:rsid w:val="00DB5CE5"/>
    <w:rsid w:val="00DB664D"/>
    <w:rsid w:val="00DB6D08"/>
    <w:rsid w:val="00DC07EC"/>
    <w:rsid w:val="00DC1DF5"/>
    <w:rsid w:val="00DC5B92"/>
    <w:rsid w:val="00DD4CF9"/>
    <w:rsid w:val="00DD7907"/>
    <w:rsid w:val="00DE0355"/>
    <w:rsid w:val="00DE2258"/>
    <w:rsid w:val="00DE3AFB"/>
    <w:rsid w:val="00DE694D"/>
    <w:rsid w:val="00DF2343"/>
    <w:rsid w:val="00DF47B2"/>
    <w:rsid w:val="00DF4AD1"/>
    <w:rsid w:val="00DF6312"/>
    <w:rsid w:val="00DF7563"/>
    <w:rsid w:val="00E00271"/>
    <w:rsid w:val="00E005CA"/>
    <w:rsid w:val="00E05070"/>
    <w:rsid w:val="00E053D9"/>
    <w:rsid w:val="00E07C2C"/>
    <w:rsid w:val="00E12594"/>
    <w:rsid w:val="00E12C70"/>
    <w:rsid w:val="00E1523B"/>
    <w:rsid w:val="00E2151B"/>
    <w:rsid w:val="00E21BC4"/>
    <w:rsid w:val="00E24808"/>
    <w:rsid w:val="00E33FBB"/>
    <w:rsid w:val="00E3451B"/>
    <w:rsid w:val="00E34C09"/>
    <w:rsid w:val="00E35F4E"/>
    <w:rsid w:val="00E43331"/>
    <w:rsid w:val="00E43721"/>
    <w:rsid w:val="00E441DB"/>
    <w:rsid w:val="00E45926"/>
    <w:rsid w:val="00E45A8A"/>
    <w:rsid w:val="00E50792"/>
    <w:rsid w:val="00E57BAB"/>
    <w:rsid w:val="00E62FC6"/>
    <w:rsid w:val="00E63668"/>
    <w:rsid w:val="00E65276"/>
    <w:rsid w:val="00E6684B"/>
    <w:rsid w:val="00E72316"/>
    <w:rsid w:val="00E74826"/>
    <w:rsid w:val="00E766E0"/>
    <w:rsid w:val="00E80C61"/>
    <w:rsid w:val="00E847C8"/>
    <w:rsid w:val="00E84FBD"/>
    <w:rsid w:val="00E859B3"/>
    <w:rsid w:val="00E97210"/>
    <w:rsid w:val="00E97C12"/>
    <w:rsid w:val="00EA383F"/>
    <w:rsid w:val="00EA4E3D"/>
    <w:rsid w:val="00EA7C8A"/>
    <w:rsid w:val="00EB4DB4"/>
    <w:rsid w:val="00EB6943"/>
    <w:rsid w:val="00EB6D40"/>
    <w:rsid w:val="00EC00F2"/>
    <w:rsid w:val="00EC2B6F"/>
    <w:rsid w:val="00EC66E0"/>
    <w:rsid w:val="00EC7D94"/>
    <w:rsid w:val="00ED3C65"/>
    <w:rsid w:val="00ED55FC"/>
    <w:rsid w:val="00ED6E38"/>
    <w:rsid w:val="00EE5C23"/>
    <w:rsid w:val="00EE7D4A"/>
    <w:rsid w:val="00EE7F57"/>
    <w:rsid w:val="00EF102A"/>
    <w:rsid w:val="00EF2E0F"/>
    <w:rsid w:val="00F00855"/>
    <w:rsid w:val="00F02BD0"/>
    <w:rsid w:val="00F058F4"/>
    <w:rsid w:val="00F07D43"/>
    <w:rsid w:val="00F11FE1"/>
    <w:rsid w:val="00F12D4C"/>
    <w:rsid w:val="00F142B7"/>
    <w:rsid w:val="00F3027D"/>
    <w:rsid w:val="00F33A43"/>
    <w:rsid w:val="00F3647F"/>
    <w:rsid w:val="00F36B3F"/>
    <w:rsid w:val="00F36C9A"/>
    <w:rsid w:val="00F42D78"/>
    <w:rsid w:val="00F456E4"/>
    <w:rsid w:val="00F461DB"/>
    <w:rsid w:val="00F5142E"/>
    <w:rsid w:val="00F521ED"/>
    <w:rsid w:val="00F54B40"/>
    <w:rsid w:val="00F569AB"/>
    <w:rsid w:val="00F61E72"/>
    <w:rsid w:val="00F637F1"/>
    <w:rsid w:val="00F66070"/>
    <w:rsid w:val="00F663C1"/>
    <w:rsid w:val="00F67446"/>
    <w:rsid w:val="00F67689"/>
    <w:rsid w:val="00F67EED"/>
    <w:rsid w:val="00F67FE1"/>
    <w:rsid w:val="00F70428"/>
    <w:rsid w:val="00F73E59"/>
    <w:rsid w:val="00F75EAB"/>
    <w:rsid w:val="00F821A1"/>
    <w:rsid w:val="00F85536"/>
    <w:rsid w:val="00F85BB0"/>
    <w:rsid w:val="00F90B32"/>
    <w:rsid w:val="00F96329"/>
    <w:rsid w:val="00F973F1"/>
    <w:rsid w:val="00F97AD8"/>
    <w:rsid w:val="00FA445B"/>
    <w:rsid w:val="00FA7320"/>
    <w:rsid w:val="00FA7513"/>
    <w:rsid w:val="00FB0742"/>
    <w:rsid w:val="00FB092E"/>
    <w:rsid w:val="00FB0AAA"/>
    <w:rsid w:val="00FB1385"/>
    <w:rsid w:val="00FB460C"/>
    <w:rsid w:val="00FC1511"/>
    <w:rsid w:val="00FC2620"/>
    <w:rsid w:val="00FC282E"/>
    <w:rsid w:val="00FC29D9"/>
    <w:rsid w:val="00FC6CA1"/>
    <w:rsid w:val="00FD19DA"/>
    <w:rsid w:val="00FD3628"/>
    <w:rsid w:val="00FD59C0"/>
    <w:rsid w:val="00FD6BC4"/>
    <w:rsid w:val="00FD6D01"/>
    <w:rsid w:val="00FE0148"/>
    <w:rsid w:val="00FE042B"/>
    <w:rsid w:val="00FE1F32"/>
    <w:rsid w:val="00FE1FF6"/>
    <w:rsid w:val="00FE3229"/>
    <w:rsid w:val="00FE3264"/>
    <w:rsid w:val="00FE3B5D"/>
    <w:rsid w:val="00FE56D7"/>
    <w:rsid w:val="00FE5DF4"/>
    <w:rsid w:val="00FE757A"/>
    <w:rsid w:val="00FE779F"/>
    <w:rsid w:val="00FF6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131385"/>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link w:val="ListParagraphChar"/>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7D0B2F"/>
    <w:pPr>
      <w:tabs>
        <w:tab w:val="right" w:leader="dot" w:pos="9736"/>
      </w:tabs>
      <w:spacing w:before="60" w:after="0"/>
    </w:pPr>
    <w:rPr>
      <w:rFonts w:asciiTheme="minorHAnsi" w:hAnsiTheme="minorHAnsi"/>
      <w:b/>
      <w:bCs/>
      <w:cap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571A16"/>
    <w:pPr>
      <w:tabs>
        <w:tab w:val="left" w:pos="993"/>
        <w:tab w:val="right" w:leader="dot" w:pos="9736"/>
      </w:tabs>
      <w:spacing w:after="0"/>
      <w:ind w:left="567"/>
    </w:pPr>
    <w:rPr>
      <w:rFonts w:asciiTheme="minorHAnsi" w:hAnsiTheme="minorHAnsi"/>
      <w:smallCaps/>
      <w:szCs w:val="20"/>
    </w:rPr>
  </w:style>
  <w:style w:type="paragraph" w:styleId="TOC3">
    <w:name w:val="toc 3"/>
    <w:basedOn w:val="Normal"/>
    <w:next w:val="Normal"/>
    <w:autoRedefine/>
    <w:uiPriority w:val="39"/>
    <w:unhideWhenUsed/>
    <w:rsid w:val="00F11FE1"/>
    <w:pPr>
      <w:tabs>
        <w:tab w:val="right" w:leader="dot" w:pos="9781"/>
      </w:tabs>
      <w:spacing w:after="0"/>
      <w:ind w:left="720" w:firstLine="1265"/>
    </w:pPr>
    <w:rPr>
      <w:rFonts w:asciiTheme="minorHAnsi" w:hAnsiTheme="minorHAnsi"/>
      <w:iCs/>
      <w:noProof/>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790DB0"/>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790DB0"/>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790DB0"/>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790DB0"/>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790DB0"/>
    <w:pPr>
      <w:spacing w:after="0"/>
      <w:ind w:left="1600"/>
    </w:pPr>
    <w:rPr>
      <w:rFonts w:asciiTheme="minorHAnsi" w:hAnsiTheme="minorHAnsi"/>
      <w:sz w:val="18"/>
      <w:szCs w:val="18"/>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numbering" w:customStyle="1" w:styleId="NoList1">
    <w:name w:val="No List1"/>
    <w:next w:val="NoList"/>
    <w:uiPriority w:val="99"/>
    <w:semiHidden/>
    <w:unhideWhenUsed/>
    <w:rsid w:val="00751E87"/>
  </w:style>
  <w:style w:type="table" w:customStyle="1" w:styleId="TableGrid1">
    <w:name w:val="Table Grid1"/>
    <w:basedOn w:val="TableNormal"/>
    <w:next w:val="TableGrid"/>
    <w:uiPriority w:val="59"/>
    <w:rsid w:val="0075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link w:val="SummaryChar"/>
    <w:qFormat/>
    <w:rsid w:val="009227C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pPr>
    <w:rPr>
      <w:rFonts w:eastAsiaTheme="majorEastAsia" w:cstheme="minorHAnsi"/>
      <w:sz w:val="20"/>
      <w:szCs w:val="26"/>
      <w:lang w:eastAsia="en-AU"/>
    </w:rPr>
  </w:style>
  <w:style w:type="character" w:customStyle="1" w:styleId="SummaryChar">
    <w:name w:val="Summary Char"/>
    <w:basedOn w:val="Heading2Char"/>
    <w:link w:val="Summary"/>
    <w:rsid w:val="009227C1"/>
    <w:rPr>
      <w:rFonts w:eastAsiaTheme="majorEastAsia" w:cstheme="minorHAnsi"/>
      <w:b w:val="0"/>
      <w:bCs w:val="0"/>
      <w:sz w:val="20"/>
      <w:szCs w:val="26"/>
      <w:lang w:eastAsia="en-AU"/>
    </w:rPr>
  </w:style>
  <w:style w:type="paragraph" w:customStyle="1" w:styleId="Linebullet">
    <w:name w:val="Line bullet"/>
    <w:basedOn w:val="Body"/>
    <w:link w:val="LinebulletChar"/>
    <w:qFormat/>
    <w:rsid w:val="009227C1"/>
    <w:pPr>
      <w:numPr>
        <w:numId w:val="1"/>
      </w:numPr>
      <w:spacing w:after="120"/>
      <w:contextualSpacing/>
    </w:pPr>
  </w:style>
  <w:style w:type="character" w:customStyle="1" w:styleId="LinebulletChar">
    <w:name w:val="Line bullet Char"/>
    <w:basedOn w:val="BodyChar"/>
    <w:link w:val="Linebullet"/>
    <w:rsid w:val="009227C1"/>
    <w:rPr>
      <w:sz w:val="21"/>
      <w:lang w:eastAsia="en-AU"/>
    </w:rPr>
  </w:style>
  <w:style w:type="paragraph" w:customStyle="1" w:styleId="Tablebody">
    <w:name w:val="Table body"/>
    <w:basedOn w:val="Body"/>
    <w:link w:val="TablebodyChar"/>
    <w:qFormat/>
    <w:rsid w:val="009227C1"/>
    <w:pPr>
      <w:spacing w:after="0" w:line="276" w:lineRule="auto"/>
    </w:pPr>
    <w:rPr>
      <w:sz w:val="18"/>
    </w:rPr>
  </w:style>
  <w:style w:type="character" w:customStyle="1" w:styleId="TablebodyChar">
    <w:name w:val="Table body Char"/>
    <w:basedOn w:val="BodyChar"/>
    <w:link w:val="Tablebody"/>
    <w:rsid w:val="009227C1"/>
    <w:rPr>
      <w:sz w:val="18"/>
      <w:lang w:eastAsia="en-AU"/>
    </w:rPr>
  </w:style>
  <w:style w:type="paragraph" w:styleId="TOCHeading">
    <w:name w:val="TOC Heading"/>
    <w:basedOn w:val="Heading1"/>
    <w:next w:val="Normal"/>
    <w:uiPriority w:val="39"/>
    <w:unhideWhenUsed/>
    <w:qFormat/>
    <w:rsid w:val="00CF39C6"/>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BodyCopy">
    <w:name w:val="Body Copy"/>
    <w:basedOn w:val="Normal"/>
    <w:link w:val="BodyCopyChar"/>
    <w:qFormat/>
    <w:rsid w:val="005201A4"/>
    <w:pPr>
      <w:spacing w:line="300" w:lineRule="auto"/>
    </w:pPr>
    <w:rPr>
      <w:rFonts w:asciiTheme="minorHAnsi" w:eastAsia="Calibri" w:hAnsiTheme="minorHAnsi" w:cs="Times New Roman"/>
      <w:bCs/>
      <w:sz w:val="22"/>
      <w:szCs w:val="20"/>
      <w:lang w:eastAsia="en-AU"/>
    </w:rPr>
  </w:style>
  <w:style w:type="character" w:customStyle="1" w:styleId="ListParagraphChar">
    <w:name w:val="List Paragraph Char"/>
    <w:basedOn w:val="DefaultParagraphFont"/>
    <w:link w:val="ListParagraph"/>
    <w:uiPriority w:val="34"/>
    <w:rsid w:val="005201A4"/>
    <w:rPr>
      <w:rFonts w:ascii="Calibri Light" w:hAnsi="Calibri Light"/>
      <w:sz w:val="20"/>
    </w:rPr>
  </w:style>
  <w:style w:type="character" w:customStyle="1" w:styleId="BodyCopyChar">
    <w:name w:val="Body Copy Char"/>
    <w:basedOn w:val="DefaultParagraphFont"/>
    <w:link w:val="BodyCopy"/>
    <w:rsid w:val="005201A4"/>
    <w:rPr>
      <w:rFonts w:eastAsia="Calibri" w:cs="Times New Roman"/>
      <w:bCs/>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37523016">
      <w:bodyDiv w:val="1"/>
      <w:marLeft w:val="0"/>
      <w:marRight w:val="0"/>
      <w:marTop w:val="0"/>
      <w:marBottom w:val="0"/>
      <w:divBdr>
        <w:top w:val="none" w:sz="0" w:space="0" w:color="auto"/>
        <w:left w:val="none" w:sz="0" w:space="0" w:color="auto"/>
        <w:bottom w:val="none" w:sz="0" w:space="0" w:color="auto"/>
        <w:right w:val="none" w:sz="0" w:space="0" w:color="auto"/>
      </w:divBdr>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22461620">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27202913">
      <w:bodyDiv w:val="1"/>
      <w:marLeft w:val="0"/>
      <w:marRight w:val="0"/>
      <w:marTop w:val="0"/>
      <w:marBottom w:val="0"/>
      <w:divBdr>
        <w:top w:val="none" w:sz="0" w:space="0" w:color="auto"/>
        <w:left w:val="none" w:sz="0" w:space="0" w:color="auto"/>
        <w:bottom w:val="none" w:sz="0" w:space="0" w:color="auto"/>
        <w:right w:val="none" w:sz="0" w:space="0" w:color="auto"/>
      </w:divBdr>
    </w:div>
    <w:div w:id="632903721">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19468146">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19880337">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154295539">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35915876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1C72-337A-4F6A-AE3A-8B12E287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Unna Liddy</cp:lastModifiedBy>
  <cp:revision>9</cp:revision>
  <cp:lastPrinted>2016-04-26T03:25:00Z</cp:lastPrinted>
  <dcterms:created xsi:type="dcterms:W3CDTF">2018-01-28T21:09:00Z</dcterms:created>
  <dcterms:modified xsi:type="dcterms:W3CDTF">2018-03-09T06:22:00Z</dcterms:modified>
</cp:coreProperties>
</file>